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480"/>
          </w:cols>
          <w:pgMar w:left="460" w:top="217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PHILIP IRVING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4503 BROWNDALE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0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20"/>
          </w:cols>
          <w:pgMar w:left="460" w:top="217" w:right="37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EDINA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55424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40"/>
          </w:cols>
          <w:pgMar w:left="460" w:top="217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full on the first anniversary of the grant date, subject to the Reporting Person's continued service as a director through such date and the terms of the applicable award agreement.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Philip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14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7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5464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2026-06-22T07:19:28Z</dcterms:created>
  <dcterms:modified xsi:type="dcterms:W3CDTF">2026-06-22T07:19:28Z</dcterms:modified>
</cp:coreProperties>
</file>