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ark-20260630x10q.htm"/>
        <w:bookmarkStart w:id="1" w:name="kspark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3fa35a1f_596c_4ff0_a6d7_902e1fce1888"/>
      <w:bookmarkEnd w:id="2"/>
      <w:r>
        <w:rPr>
          <w:rFonts w:ascii="Times New Roman;Times;serif" w:hAnsi="Times New Roman;Times;serif"/>
          <w:b/>
          <w:sz w:val="20"/>
        </w:rPr>
        <w:t>UNITED STATES 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caps/>
          <w:sz w:val="28"/>
        </w:rPr>
      </w:pPr>
      <w:r>
        <w:rPr>
          <w:rFonts w:ascii="Times New Roman;Times;serif" w:hAnsi="Times New Roman;Times;serif"/>
          <w:b/>
          <w:caps/>
          <w:sz w:val="28"/>
        </w:rPr>
        <w:t>FORM 10-Q</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(Mark one)</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0"/>
              <w:jc w:val="both"/>
              <w:rPr/>
            </w:pPr>
            <w:r>
              <w:rPr/>
              <w:t>☒</w:t>
            </w:r>
          </w:p>
        </w:tc>
        <w:tc>
          <w:tcPr>
            <w:tcW w:w="76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Quarterly Report Pursuant to Section 13 or 15(d) of the Securities Exchange Act of 1934</w:t>
            </w:r>
            <w:r>
              <w:rPr>
                <w:rFonts w:ascii="Times New Roman;Times;serif" w:hAnsi="Times New Roman;Times;serif"/>
                <w:sz w:val="20"/>
              </w:rPr>
              <w:t xml:space="preserv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June 30,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0"/>
              <w:jc w:val="both"/>
              <w:rPr/>
            </w:pPr>
            <w:r>
              <w:rPr/>
              <w:t>☐</w:t>
            </w:r>
          </w:p>
        </w:tc>
        <w:tc>
          <w:tcPr>
            <w:tcW w:w="760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80"/>
        <w:ind w:left="0" w:right="0" w:hanging="360"/>
        <w:jc w:val="center"/>
        <w:rPr>
          <w:rFonts w:ascii="Times New Roman;Times;serif" w:hAnsi="Times New Roman;Times;serif"/>
          <w:sz w:val="18"/>
        </w:rPr>
      </w:pPr>
      <w:r>
        <w:rPr>
          <w:rFonts w:ascii="Times New Roman;Times;serif" w:hAnsi="Times New Roman;Times;serif"/>
          <w:sz w:val="18"/>
        </w:rPr>
        <w:t>For the transition period from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001-42967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olor w:val="231F20"/>
          <w:sz w:val="28"/>
        </w:rPr>
      </w:pPr>
      <w:r>
        <w:rPr>
          <w:rFonts w:ascii="Times New Roman;Times;serif" w:hAnsi="Times New Roman;Times;serif"/>
          <w:b/>
          <w:color w:val="231F20"/>
          <w:sz w:val="28"/>
        </w:rPr>
        <w:t>Park Dental Partners,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OTFe5V3WEUmaVgh3VbGV_g_4_0"/>
      <w:bookmarkStart w:id="4" w:name="Tc_teItZCZbWkCMEi5OvkB0hQ_2_1"/>
      <w:bookmarkStart w:id="5" w:name="Tc_dKxZdNQn70SWv8K9XmAUeA_2_0"/>
      <w:bookmarkStart w:id="6" w:name="Tc_ffRhVUjLUU-xIg8GWrD0Ow_1_1"/>
      <w:bookmarkStart w:id="7" w:name="_771f3635_b379_4cba_b8ca_95cba609a07c"/>
      <w:bookmarkStart w:id="8" w:name="_001d99ef_5a61_4913_b57a_667e91bcb752"/>
      <w:bookmarkStart w:id="9" w:name="Tc_OTFe5V3WEUmaVgh3VbGV_g_4_0"/>
      <w:bookmarkStart w:id="10" w:name="Tc_teItZCZbWkCMEi5OvkB0hQ_2_1"/>
      <w:bookmarkStart w:id="11" w:name="Tc_dKxZdNQn70SWv8K9XmAUeA_2_0"/>
      <w:bookmarkStart w:id="12" w:name="Tc_ffRhVUjLUU-xIg8GWrD0Ow_1_1"/>
      <w:bookmarkStart w:id="13" w:name="_771f3635_b379_4cba_b8ca_95cba609a07c"/>
      <w:bookmarkStart w:id="14" w:name="_001d99ef_5a61_4913_b57a_667e91bcb752"/>
      <w:bookmarkEnd w:id="9"/>
      <w:bookmarkEnd w:id="10"/>
      <w:bookmarkEnd w:id="11"/>
      <w:bookmarkEnd w:id="12"/>
      <w:bookmarkEnd w:id="13"/>
      <w:bookmarkEnd w:id="14"/>
    </w:p>
    <w:tbl>
      <w:tblPr>
        <w:tblW w:w="5327" w:type="dxa"/>
        <w:jc w:val="left"/>
        <w:tblInd w:w="0" w:type="dxa"/>
        <w:tblLayout w:type="fixed"/>
        <w:tblCellMar>
          <w:top w:w="0" w:type="dxa"/>
          <w:left w:w="0" w:type="dxa"/>
          <w:bottom w:w="0" w:type="dxa"/>
          <w:right w:w="0" w:type="dxa"/>
        </w:tblCellMar>
      </w:tblPr>
      <w:tblGrid>
        <w:gridCol w:w="2566"/>
        <w:gridCol w:w="2761"/>
      </w:tblGrid>
      <w:tr>
        <w:trPr/>
        <w:tc>
          <w:tcPr>
            <w:tcW w:w="256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27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(651) 633-0500</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w:t>
            </w:r>
          </w:p>
        </w:tc>
        <w:tc>
          <w:tcPr>
            <w:tcW w:w="27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w:t>
            </w:r>
          </w:p>
        </w:tc>
      </w:tr>
      <w:tr>
        <w:trPr/>
        <w:tc>
          <w:tcPr>
            <w:tcW w:w="532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93-2020683</w:t>
            </w:r>
          </w:p>
        </w:tc>
      </w:tr>
      <w:tr>
        <w:trPr/>
        <w:tc>
          <w:tcPr>
            <w:tcW w:w="53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2200 County Road C West, Suite 2210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231F20"/>
          <w:sz w:val="20"/>
        </w:rPr>
        <w:t>Roseville, Minnesota</w:t>
      </w:r>
      <w:r>
        <w:rPr>
          <w:rFonts w:ascii="Times New Roman;Times;serif" w:hAnsi="Times New Roman;Times;serif"/>
          <w:color w:val="231F20"/>
          <w:sz w:val="20"/>
        </w:rPr>
        <w:t xml:space="preserve"> </w:t>
      </w:r>
      <w:r>
        <w:rPr>
          <w:rFonts w:ascii="Times New Roman;Times;serif" w:hAnsi="Times New Roman;Times;serif"/>
          <w:b/>
          <w:color w:val="231F20"/>
          <w:sz w:val="20"/>
        </w:rPr>
        <w:t>55113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Y9QkLLtmM0-_EaCEd1HcuQ_2_2"/>
      <w:bookmarkStart w:id="16" w:name="Tc_DHyB__wI9USyuMJ91Jvnog_1_2"/>
      <w:bookmarkStart w:id="17" w:name="Tc_boL7PIBGIUyhMTutl31Hnw_1_1"/>
      <w:bookmarkStart w:id="18" w:name="Tc_0YmmAljFp0i7R_GQAawYKQ_1_0"/>
      <w:bookmarkStart w:id="19" w:name="_9aea4bf8_0af4_46ec_bcff_281768ce8ec0"/>
      <w:bookmarkStart w:id="20" w:name="Tc_Y9QkLLtmM0-_EaCEd1HcuQ_2_2"/>
      <w:bookmarkStart w:id="21" w:name="Tc_DHyB__wI9USyuMJ91Jvnog_1_2"/>
      <w:bookmarkStart w:id="22" w:name="Tc_boL7PIBGIUyhMTutl31Hnw_1_1"/>
      <w:bookmarkStart w:id="23" w:name="Tc_0YmmAljFp0i7R_GQAawYKQ_1_0"/>
      <w:bookmarkStart w:id="24" w:name="_9aea4bf8_0af4_46ec_bcff_281768ce8ec0"/>
      <w:bookmarkEnd w:id="20"/>
      <w:bookmarkEnd w:id="21"/>
      <w:bookmarkEnd w:id="22"/>
      <w:bookmarkEnd w:id="23"/>
      <w:bookmarkEnd w:id="24"/>
    </w:p>
    <w:tbl>
      <w:tblPr>
        <w:tblW w:w="9228" w:type="dxa"/>
        <w:jc w:val="left"/>
        <w:tblInd w:w="0" w:type="dxa"/>
        <w:tblLayout w:type="fixed"/>
        <w:tblCellMar>
          <w:top w:w="0" w:type="dxa"/>
          <w:left w:w="0" w:type="dxa"/>
          <w:bottom w:w="0" w:type="dxa"/>
          <w:right w:w="0" w:type="dxa"/>
        </w:tblCellMar>
      </w:tblPr>
      <w:tblGrid>
        <w:gridCol w:w="3706"/>
        <w:gridCol w:w="1696"/>
        <w:gridCol w:w="3826"/>
      </w:tblGrid>
      <w:tr>
        <w:trPr/>
        <w:tc>
          <w:tcPr>
            <w:tcW w:w="370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6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PARK</w:t>
            </w:r>
          </w:p>
        </w:tc>
        <w:tc>
          <w:tcPr>
            <w:tcW w:w="3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w:t>
      </w:r>
      <w:r>
        <w:rPr>
          <w:rFonts w:ascii="Times New Roman;Times;serif" w:hAnsi="Times New Roman;Times;serif"/>
          <w:caps w:val="false"/>
          <w:smallCaps w:val="false"/>
          <w:sz w:val="20"/>
        </w:rPr>
        <w:t> ☒</w:t>
      </w:r>
      <w:r>
        <w:rPr>
          <w:rFonts w:ascii="Times New Roman;Times;serif" w:hAnsi="Times New Roman;Times;serif"/>
          <w:sz w:val="20"/>
        </w:rPr>
        <w:t>No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w:t>
      </w:r>
      <w:r>
        <w:rPr>
          <w:rFonts w:ascii="Times New Roman;Times;serif" w:hAnsi="Times New Roman;Times;serif"/>
          <w:caps w:val="false"/>
          <w:smallCaps w:val="false"/>
          <w:sz w:val="20"/>
        </w:rPr>
        <w:t> ☒</w:t>
      </w:r>
      <w:r>
        <w:rPr>
          <w:rFonts w:ascii="Times New Roman;Times;serif" w:hAnsi="Times New Roman;Times;serif"/>
          <w:sz w:val="20"/>
        </w:rPr>
        <w:t>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VgSGcaZcrUy_UN5FB3iI4w_3_2"/>
      <w:bookmarkStart w:id="26" w:name="Tc_-CbSJGwA90mYzURH04_o0w_2_3"/>
      <w:bookmarkStart w:id="27" w:name="Tc_ByKtdIZauECbvlndIR7DSA_2_2"/>
      <w:bookmarkStart w:id="28" w:name="Tc_t8JoOyQ0wkCRZt9d4SQNRw_2_1"/>
      <w:bookmarkStart w:id="29" w:name="Tc_fYphMYsCYk6HUUfbhK70lg_1_3"/>
      <w:bookmarkStart w:id="30" w:name="Tc_6IWc1Nppu0eli_eFJ0q_Sw_1_2"/>
      <w:bookmarkStart w:id="31" w:name="Tc_o7ngsIC-306c0zaBkj-dsA_1_1"/>
      <w:bookmarkStart w:id="32" w:name="Tc_Aduhp3eqKUOeQzkW7O27lg_1_0"/>
      <w:bookmarkStart w:id="33" w:name="_aaa66648_1fa9_4830_8c7d_05a6c8c5e037"/>
      <w:bookmarkStart w:id="34" w:name="Tc_VgSGcaZcrUy_UN5FB3iI4w_3_2"/>
      <w:bookmarkStart w:id="35" w:name="Tc_-CbSJGwA90mYzURH04_o0w_2_3"/>
      <w:bookmarkStart w:id="36" w:name="Tc_ByKtdIZauECbvlndIR7DSA_2_2"/>
      <w:bookmarkStart w:id="37" w:name="Tc_t8JoOyQ0wkCRZt9d4SQNRw_2_1"/>
      <w:bookmarkStart w:id="38" w:name="Tc_fYphMYsCYk6HUUfbhK70lg_1_3"/>
      <w:bookmarkStart w:id="39" w:name="Tc_6IWc1Nppu0eli_eFJ0q_Sw_1_2"/>
      <w:bookmarkStart w:id="40" w:name="Tc_o7ngsIC-306c0zaBkj-dsA_1_1"/>
      <w:bookmarkStart w:id="41" w:name="Tc_Aduhp3eqKUOeQzkW7O27lg_1_0"/>
      <w:bookmarkStart w:id="42" w:name="_aaa66648_1fa9_4830_8c7d_05a6c8c5e037"/>
      <w:bookmarkEnd w:id="34"/>
      <w:bookmarkEnd w:id="35"/>
      <w:bookmarkEnd w:id="36"/>
      <w:bookmarkEnd w:id="37"/>
      <w:bookmarkEnd w:id="38"/>
      <w:bookmarkEnd w:id="39"/>
      <w:bookmarkEnd w:id="40"/>
      <w:bookmarkEnd w:id="41"/>
      <w:bookmarkEnd w:id="42"/>
    </w:p>
    <w:tbl>
      <w:tblPr>
        <w:tblW w:w="4969" w:type="dxa"/>
        <w:jc w:val="left"/>
        <w:tblInd w:w="0" w:type="dxa"/>
        <w:tblLayout w:type="fixed"/>
        <w:tblCellMar>
          <w:top w:w="0" w:type="dxa"/>
          <w:left w:w="0" w:type="dxa"/>
          <w:bottom w:w="0" w:type="dxa"/>
          <w:right w:w="0" w:type="dxa"/>
        </w:tblCellMar>
      </w:tblPr>
      <w:tblGrid>
        <w:gridCol w:w="1921"/>
        <w:gridCol w:w="316"/>
        <w:gridCol w:w="2311"/>
        <w:gridCol w:w="42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w:t>
            </w:r>
          </w:p>
        </w:tc>
        <w:tc>
          <w:tcPr>
            <w:tcW w:w="42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w:t>
            </w:r>
          </w:p>
        </w:tc>
        <w:tc>
          <w:tcPr>
            <w:tcW w:w="421" w:type="dxa"/>
            <w:tcBorders/>
            <w:vAlign w:val="center"/>
          </w:tcPr>
          <w:p>
            <w:pPr>
              <w:pStyle w:val="TableContents"/>
              <w:bidi w:val="0"/>
              <w:spacing w:before="0" w:after="0"/>
              <w:ind w:left="0" w:right="0" w:hanging="0"/>
              <w:jc w:val="both"/>
              <w:rPr/>
            </w:pPr>
            <w:r>
              <w:rPr/>
              <w:t xml:space="preserve">☒ </w:t>
            </w:r>
          </w:p>
        </w:tc>
      </w:tr>
      <w:tr>
        <w:trPr/>
        <w:tc>
          <w:tcPr>
            <w:tcW w:w="2237" w:type="dxa"/>
            <w:gridSpan w:val="2"/>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w:t>
            </w:r>
          </w:p>
        </w:tc>
        <w:tc>
          <w:tcPr>
            <w:tcW w:w="42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Yes </w:t>
      </w:r>
      <w:r>
        <w:rPr>
          <w:rFonts w:ascii="Times New Roman;Times;serif" w:hAnsi="Times New Roman;Times;serif"/>
          <w:caps w:val="false"/>
          <w:smallCaps w:val="false"/>
          <w:sz w:val="20"/>
        </w:rPr>
        <w:t>☐</w:t>
      </w:r>
      <w:r>
        <w:rPr>
          <w:rFonts w:ascii="Times New Roman;Times;serif" w:hAnsi="Times New Roman;Times;serif"/>
          <w:sz w:val="20"/>
        </w:rPr>
        <w:t>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p>
      <w:pPr>
        <w:pStyle w:val="TextBody"/>
        <w:bidi w:val="0"/>
        <w:spacing w:before="0" w:after="0"/>
        <w:ind w:left="0" w:right="0" w:hanging="0"/>
        <w:jc w:val="left"/>
        <w:rPr/>
      </w:pPr>
      <w:r>
        <w:rPr/>
        <w:t>​</w:t>
      </w:r>
    </w:p>
    <w:tbl>
      <w:tblPr>
        <w:tblW w:w="7292" w:type="dxa"/>
        <w:jc w:val="left"/>
        <w:tblInd w:w="0" w:type="dxa"/>
        <w:tblLayout w:type="fixed"/>
        <w:tblCellMar>
          <w:top w:w="0" w:type="dxa"/>
          <w:left w:w="0" w:type="dxa"/>
          <w:bottom w:w="0" w:type="dxa"/>
          <w:right w:w="0" w:type="dxa"/>
        </w:tblCellMar>
      </w:tblPr>
      <w:tblGrid>
        <w:gridCol w:w="3286"/>
        <w:gridCol w:w="4006"/>
      </w:tblGrid>
      <w:tr>
        <w:trPr/>
        <w:tc>
          <w:tcPr>
            <w:tcW w:w="328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par value of $0.0001 per share</w:t>
            </w:r>
          </w:p>
        </w:tc>
      </w:tr>
      <w:tr>
        <w:trPr/>
        <w:tc>
          <w:tcPr>
            <w:tcW w:w="3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 Shares at August 13, 2026</w:t>
            </w:r>
          </w:p>
        </w:tc>
        <w:tc>
          <w:tcPr>
            <w:tcW w:w="4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4,755,282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pBdr>
          <w:top w:val="single" w:sz="2" w:space="1" w:color="000000"/>
          <w:bottom w:val="single" w:sz="24" w:space="1" w:color="000000"/>
        </w:pBdr>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a8d297b2_5e0a_4d5e_909a_f009bcdd5841"/>
      <w:bookmarkEnd w:id="43"/>
      <w:r>
        <w:rPr>
          <w:rFonts w:ascii="Times New Roman;Times;serif" w:hAnsi="Times New Roman;Times;serif"/>
          <w:b/>
          <w:sz w:val="20"/>
        </w:rPr>
        <w:t>PARK DENTAL PARTNERS, INC. AND SUBSIDIARIES</w:t>
      </w:r>
    </w:p>
    <w:p>
      <w:pPr>
        <w:pStyle w:val="TextBody"/>
        <w:bidi w:val="0"/>
        <w:spacing w:before="0" w:after="24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TABLE OF CONTENTS</w:t>
      </w:r>
    </w:p>
    <w:tbl>
      <w:tblPr>
        <w:tblW w:w="8808" w:type="dxa"/>
        <w:jc w:val="left"/>
        <w:tblInd w:w="0" w:type="dxa"/>
        <w:tblLayout w:type="fixed"/>
        <w:tblCellMar>
          <w:top w:w="0" w:type="dxa"/>
          <w:left w:w="0" w:type="dxa"/>
          <w:bottom w:w="0" w:type="dxa"/>
          <w:right w:w="0" w:type="dxa"/>
        </w:tblCellMar>
      </w:tblPr>
      <w:tblGrid>
        <w:gridCol w:w="856"/>
        <w:gridCol w:w="7411"/>
        <w:gridCol w:w="541"/>
      </w:tblGrid>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267" w:type="dxa"/>
            <w:gridSpan w:val="2"/>
            <w:tcBorders/>
            <w:vAlign w:val="center"/>
          </w:tcPr>
          <w:p>
            <w:pPr>
              <w:pStyle w:val="TableContents"/>
              <w:bidi w:val="0"/>
              <w:spacing w:before="0" w:after="0"/>
              <w:ind w:left="0" w:right="0" w:hanging="0"/>
              <w:jc w:val="left"/>
              <w:rPr/>
            </w:pPr>
            <w:hyperlink w:anchor="_PART_I_--">
              <w:r>
                <w:rPr>
                  <w:rStyle w:val="InternetLink"/>
                  <w:rFonts w:ascii="Times New Roman;Times;serif" w:hAnsi="Times New Roman;Times;serif"/>
                  <w:b w:val="false"/>
                  <w:i w:val="false"/>
                  <w:caps w:val="false"/>
                  <w:smallCaps w:val="false"/>
                  <w:sz w:val="20"/>
                </w:rPr>
                <w:t>PART I -- FINANCIAL INFORMATION</w:t>
              </w:r>
            </w:hyperlink>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FinancialStatements_881939">
              <w:r>
                <w:rPr>
                  <w:rStyle w:val="InternetLink"/>
                  <w:rFonts w:ascii="Times New Roman;Times;serif" w:hAnsi="Times New Roman;Times;serif"/>
                  <w:b w:val="false"/>
                  <w:i w:val="false"/>
                  <w:caps w:val="false"/>
                  <w:smallCaps w:val="false"/>
                  <w:sz w:val="20"/>
                </w:rPr>
                <w:t>Item 1.</w:t>
              </w:r>
            </w:hyperlink>
          </w:p>
        </w:tc>
        <w:tc>
          <w:tcPr>
            <w:tcW w:w="7411" w:type="dxa"/>
            <w:tcBorders/>
            <w:vAlign w:val="center"/>
          </w:tcPr>
          <w:p>
            <w:pPr>
              <w:pStyle w:val="TableContents"/>
              <w:bidi w:val="0"/>
              <w:spacing w:before="0" w:after="0"/>
              <w:ind w:left="0" w:right="0" w:hanging="0"/>
              <w:jc w:val="left"/>
              <w:rPr/>
            </w:pPr>
            <w:hyperlink w:anchor="Item1FinancialStatements_881939">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BALANCESHEETS_91521">
              <w:r>
                <w:rPr>
                  <w:rStyle w:val="InternetLink"/>
                  <w:rFonts w:ascii="Times New Roman;Times;serif" w:hAnsi="Times New Roman;Times;serif"/>
                  <w:b w:val="false"/>
                  <w:i w:val="false"/>
                  <w:caps w:val="false"/>
                  <w:smallCaps w:val="false"/>
                  <w:sz w:val="20"/>
                </w:rPr>
                <w:t>Condensed Consolidated Balance Sheets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INCOMESTATEMENTS">
              <w:r>
                <w:rPr>
                  <w:rStyle w:val="InternetLink"/>
                  <w:rFonts w:ascii="Times New Roman;Times;serif" w:hAnsi="Times New Roman;Times;serif"/>
                  <w:b w:val="false"/>
                  <w:i w:val="false"/>
                  <w:caps w:val="false"/>
                  <w:smallCaps w:val="false"/>
                  <w:sz w:val="20"/>
                </w:rPr>
                <w:t>Condensed Consolidated Statements of Operations</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STATEMENTSOFEQUITYD">
              <w:r>
                <w:rPr>
                  <w:rStyle w:val="InternetLink"/>
                  <w:rFonts w:ascii="Times New Roman;Times;serif" w:hAnsi="Times New Roman;Times;serif"/>
                  <w:b w:val="false"/>
                  <w:i w:val="false"/>
                  <w:caps w:val="false"/>
                  <w:smallCaps w:val="false"/>
                  <w:sz w:val="20"/>
                </w:rPr>
                <w:t>Condensed Consolidated Statements of Shareholders' Equity (Deficit)</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4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 xml:space="preserve">Management’s Discussion and Analysis of Financial Condition and Results of Operations </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4ControlsandProcedures_951758">
              <w:r>
                <w:rPr>
                  <w:rStyle w:val="InternetLink"/>
                  <w:rFonts w:ascii="Times New Roman;Times;serif" w:hAnsi="Times New Roman;Times;serif"/>
                  <w:b w:val="false"/>
                  <w:i w:val="false"/>
                  <w:caps w:val="false"/>
                  <w:smallCaps w:val="false"/>
                  <w:sz w:val="20"/>
                </w:rPr>
                <w:t>Item 4.</w:t>
              </w:r>
            </w:hyperlink>
          </w:p>
        </w:tc>
        <w:tc>
          <w:tcPr>
            <w:tcW w:w="7411" w:type="dxa"/>
            <w:tcBorders/>
            <w:vAlign w:val="center"/>
          </w:tcPr>
          <w:p>
            <w:pPr>
              <w:pStyle w:val="TableContents"/>
              <w:bidi w:val="0"/>
              <w:spacing w:before="0" w:after="0"/>
              <w:ind w:left="0" w:right="0" w:hanging="0"/>
              <w:jc w:val="left"/>
              <w:rPr/>
            </w:pPr>
            <w:hyperlink w:anchor="Item4ControlsandProcedures_951758">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6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pPr>
            <w:hyperlink w:anchor="PARTIIOTHERINFORMATION_996238">
              <w:r>
                <w:rPr>
                  <w:rStyle w:val="InternetLink"/>
                  <w:rFonts w:ascii="Times New Roman;Times;serif" w:hAnsi="Times New Roman;Times;serif"/>
                  <w:b w:val="false"/>
                  <w:i w:val="false"/>
                  <w:caps w:val="false"/>
                  <w:smallCaps w:val="false"/>
                  <w:sz w:val="20"/>
                </w:rPr>
                <w:t>PART II -- OTHER INFORMATION</w:t>
              </w:r>
            </w:hyperlink>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LegalProceedings_301166">
              <w:r>
                <w:rPr>
                  <w:rStyle w:val="InternetLink"/>
                  <w:rFonts w:ascii="Times New Roman;Times;serif" w:hAnsi="Times New Roman;Times;serif"/>
                  <w:b w:val="false"/>
                  <w:i w:val="false"/>
                  <w:caps w:val="false"/>
                  <w:smallCaps w:val="false"/>
                  <w:sz w:val="20"/>
                </w:rPr>
                <w:t>Item 1.</w:t>
              </w:r>
            </w:hyperlink>
          </w:p>
        </w:tc>
        <w:tc>
          <w:tcPr>
            <w:tcW w:w="7411" w:type="dxa"/>
            <w:tcBorders/>
            <w:vAlign w:val="center"/>
          </w:tcPr>
          <w:p>
            <w:pPr>
              <w:pStyle w:val="TableContents"/>
              <w:bidi w:val="0"/>
              <w:spacing w:before="0" w:after="0"/>
              <w:ind w:left="0" w:right="0" w:hanging="0"/>
              <w:jc w:val="left"/>
              <w:rPr/>
            </w:pPr>
            <w:hyperlink w:anchor="Item1LegalProceedings_301166">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ARiskFactors_592728">
              <w:r>
                <w:rPr>
                  <w:rStyle w:val="InternetLink"/>
                  <w:rFonts w:ascii="Times New Roman;Times;serif" w:hAnsi="Times New Roman;Times;serif"/>
                  <w:b w:val="false"/>
                  <w:i w:val="false"/>
                  <w:caps w:val="false"/>
                  <w:smallCaps w:val="false"/>
                  <w:sz w:val="20"/>
                </w:rPr>
                <w:t xml:space="preserve">Item 1A. </w:t>
              </w:r>
            </w:hyperlink>
          </w:p>
        </w:tc>
        <w:tc>
          <w:tcPr>
            <w:tcW w:w="7411" w:type="dxa"/>
            <w:tcBorders/>
            <w:vAlign w:val="center"/>
          </w:tcPr>
          <w:p>
            <w:pPr>
              <w:pStyle w:val="TableContents"/>
              <w:bidi w:val="0"/>
              <w:spacing w:before="0" w:after="0"/>
              <w:ind w:left="0" w:right="0" w:hanging="0"/>
              <w:jc w:val="left"/>
              <w:rPr/>
            </w:pPr>
            <w:hyperlink w:anchor="Item1ARiskFactors_592728">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4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4MineSafetyDisclosures_963621">
              <w:r>
                <w:rPr>
                  <w:rStyle w:val="InternetLink"/>
                  <w:rFonts w:ascii="Times New Roman;Times;serif" w:hAnsi="Times New Roman;Times;serif"/>
                  <w:b w:val="false"/>
                  <w:i w:val="false"/>
                  <w:caps w:val="false"/>
                  <w:smallCaps w:val="false"/>
                  <w:sz w:val="20"/>
                </w:rPr>
                <w:t>Item 4.</w:t>
              </w:r>
            </w:hyperlink>
          </w:p>
        </w:tc>
        <w:tc>
          <w:tcPr>
            <w:tcW w:w="7411" w:type="dxa"/>
            <w:tcBorders/>
            <w:vAlign w:val="center"/>
          </w:tcPr>
          <w:p>
            <w:pPr>
              <w:pStyle w:val="TableContents"/>
              <w:bidi w:val="0"/>
              <w:spacing w:before="0" w:after="0"/>
              <w:ind w:left="0" w:right="0" w:hanging="0"/>
              <w:jc w:val="left"/>
              <w:rPr/>
            </w:pPr>
            <w:hyperlink w:anchor="Item4MineSafetyDisclosures_963621">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5Otherinformation_405304">
              <w:r>
                <w:rPr>
                  <w:rStyle w:val="InternetLink"/>
                  <w:rFonts w:ascii="Times New Roman;Times;serif" w:hAnsi="Times New Roman;Times;serif"/>
                  <w:b w:val="false"/>
                  <w:i w:val="false"/>
                  <w:caps w:val="false"/>
                  <w:smallCaps w:val="false"/>
                  <w:sz w:val="20"/>
                </w:rPr>
                <w:t>Item 5.</w:t>
              </w:r>
            </w:hyperlink>
          </w:p>
        </w:tc>
        <w:tc>
          <w:tcPr>
            <w:tcW w:w="7411" w:type="dxa"/>
            <w:tcBorders/>
            <w:vAlign w:val="center"/>
          </w:tcPr>
          <w:p>
            <w:pPr>
              <w:pStyle w:val="TableContents"/>
              <w:bidi w:val="0"/>
              <w:spacing w:before="0" w:after="0"/>
              <w:ind w:left="0" w:right="0" w:hanging="0"/>
              <w:jc w:val="left"/>
              <w:rPr/>
            </w:pPr>
            <w:hyperlink w:anchor="Item5Otherinformation_405304">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6Exhibits_388558">
              <w:r>
                <w:rPr>
                  <w:rStyle w:val="InternetLink"/>
                  <w:rFonts w:ascii="Times New Roman;Times;serif" w:hAnsi="Times New Roman;Times;serif"/>
                  <w:b w:val="false"/>
                  <w:i w:val="false"/>
                  <w:caps w:val="false"/>
                  <w:smallCaps w:val="false"/>
                  <w:sz w:val="20"/>
                </w:rPr>
                <w:t>Item 6.</w:t>
              </w:r>
            </w:hyperlink>
          </w:p>
        </w:tc>
        <w:tc>
          <w:tcPr>
            <w:tcW w:w="7411" w:type="dxa"/>
            <w:tcBorders/>
            <w:vAlign w:val="center"/>
          </w:tcPr>
          <w:p>
            <w:pPr>
              <w:pStyle w:val="TableContents"/>
              <w:bidi w:val="0"/>
              <w:spacing w:before="0" w:after="0"/>
              <w:ind w:left="0" w:right="0" w:hanging="0"/>
              <w:jc w:val="left"/>
              <w:rPr/>
            </w:pPr>
            <w:hyperlink w:anchor="Item6Exhibits_38855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_f15e0a35_7e6b_4b89_a964_b0fb1d2ca4a9"/>
      <w:bookmarkStart w:id="46" w:name="_PART_I_--"/>
      <w:bookmarkEnd w:id="45"/>
      <w:bookmarkEnd w:id="46"/>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47" w:name="Item1FinancialStatements_881939"/>
      <w:bookmarkEnd w:id="47"/>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48" w:name="CONDENSEDCONSOLIDATEDBALANCESHEETS_91521"/>
      <w:bookmarkEnd w:id="48"/>
      <w:r>
        <w:rPr>
          <w:rFonts w:ascii="Times New Roman;Times;serif" w:hAnsi="Times New Roman;Times;serif"/>
          <w:b/>
          <w:sz w:val="20"/>
        </w:rPr>
        <w:t>CONDENSED CONSOLIDATED BALANCE SHEETS (unaudited)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9" w:name="Tc_w5kYk29gTkG3YmgmOqoacw_43_5"/>
      <w:bookmarkStart w:id="50" w:name="Tc_B2Qv7jypTEuLef6IxWbB3w_43_2"/>
      <w:bookmarkStart w:id="51" w:name="Tc_yOCObvv220uNrnNYG_R9wQ_43_0"/>
      <w:bookmarkStart w:id="52" w:name="Tc__SBDfg3I3UyvvvhPLnP31A_42_0"/>
      <w:bookmarkStart w:id="53" w:name="Tc_q19bjp6H7EKDJdn3rWReOQ_41_0"/>
      <w:bookmarkStart w:id="54" w:name="Tc_eglwpbOV9U-jrjqvVFJbRg_40_0"/>
      <w:bookmarkStart w:id="55" w:name="Tc_n8q5CzxMYkCfLCCD2lZyeA_39_0"/>
      <w:bookmarkStart w:id="56" w:name="Tc_ADeSfp2tE0GBBsFIjvMHFg_38_5"/>
      <w:bookmarkStart w:id="57" w:name="Tc_HkaUlwwX7UmhxzEO0FRKww_38_2"/>
      <w:bookmarkStart w:id="58" w:name="Tc_0cldQFj0qEO5LyOSkhjz0g_38_0"/>
      <w:bookmarkStart w:id="59" w:name="Tc_ImcVC2ur3EuCpmAIZ_EeUw_37_0"/>
      <w:bookmarkStart w:id="60" w:name="Tc_ZcGp0I9rjEmmfQ9fQVEhWQ_36_0"/>
      <w:bookmarkStart w:id="61" w:name="Tc_Eyi42Kcu4kySYLWOv4rdcw_35_5"/>
      <w:bookmarkStart w:id="62" w:name="Tc_Z8Gnz7-Q20anTL1ONO5EdA_35_2"/>
      <w:bookmarkStart w:id="63" w:name="Tc_D1FNugQUs0uJLrg-Yo0ZlQ_35_0"/>
      <w:bookmarkStart w:id="64" w:name="Tc__INOoMQCqEidXOqPklKCeg_34_0"/>
      <w:bookmarkStart w:id="65" w:name="Tc_ROXVeiBQAUmqre7ARptMXQ_33_0"/>
      <w:bookmarkStart w:id="66" w:name="Tc_6YeyrLBVOkC3jgHCuuLgPA_32_0"/>
      <w:bookmarkStart w:id="67" w:name="Tc_y2IFnY5pZkCrjF2zJ1_Tjg_31_0"/>
      <w:bookmarkStart w:id="68" w:name="Tc_PYOe8cAbUU29vcsPsau3-g_30_0"/>
      <w:bookmarkStart w:id="69" w:name="Tc_5VgXYsOh4U6sN0ZabYRRiQ_29_0"/>
      <w:bookmarkStart w:id="70" w:name="Tc_CPhJh5AmZUiDA9yKvJtDDg_28_0"/>
      <w:bookmarkStart w:id="71" w:name="Tc_76oDRBrtakqQZc8DZeQFVw_27_0"/>
      <w:bookmarkStart w:id="72" w:name="Tc_vH0FYQtPe0eO1Gcxs39I1g_26_0"/>
      <w:bookmarkStart w:id="73" w:name="Tc_G4Y8lwr4q0SlezBYhkWh_A_25_0"/>
      <w:bookmarkStart w:id="74" w:name="Tc_AGM2lowTiUSVmIp8g4yghw_24_0"/>
      <w:bookmarkStart w:id="75" w:name="Tc_i94BdR3bFE-g3nOGd-RsBA_23_0"/>
      <w:bookmarkStart w:id="76" w:name="Tc_g1K6XYNxPU66JXR6A4EJrg_22_5"/>
      <w:bookmarkStart w:id="77" w:name="Tc_7q--0avG206X9wUubfaZYg_22_2"/>
      <w:bookmarkStart w:id="78" w:name="Tc_CYk66C9gnEKU6i25ZTZx6Q_22_0"/>
      <w:bookmarkStart w:id="79" w:name="Tc_UWIb0jeb3k2N-HVN87eU0A_21_0"/>
      <w:bookmarkStart w:id="80" w:name="Tc_2h__ZkbHHk-LusGC2bqAIg_20_0"/>
      <w:bookmarkStart w:id="81" w:name="Tc_hwqbqPl4Y02duxHKOWg9Qw_19_5"/>
      <w:bookmarkStart w:id="82" w:name="Tc_fjkuC8FLZEu4xTAOe7SKrA_19_2"/>
      <w:bookmarkStart w:id="83" w:name="Tc_Y_28YzUfsU-sCa_Z6RDP1w_19_0"/>
      <w:bookmarkStart w:id="84" w:name="Tc_IENwSjT_zkioUGv2Mmb7Jg_18_0"/>
      <w:bookmarkStart w:id="85" w:name="Tc_DWaLvK1BRkqB8W7k6Q0RIQ_17_0"/>
      <w:bookmarkStart w:id="86" w:name="Tc_HKT54ROsKkiMPSCUztAY_A_16_0"/>
      <w:bookmarkStart w:id="87" w:name="Tc_Yo7aDkl4rUyZHbkGGxLE0Q_15_0"/>
      <w:bookmarkStart w:id="88" w:name="Tc_BrHH7Ae7HkaX2X1zRP_tFA_14_0"/>
      <w:bookmarkStart w:id="89" w:name="Tc_av5s9-cSgUOTGECKszfxgQ_13_0"/>
      <w:bookmarkStart w:id="90" w:name="Tc_9DJgV4nry0evg30zyjgnQQ_12_0"/>
      <w:bookmarkStart w:id="91" w:name="Tc_RM-Z8_ebhkiBIVTauDNgrw_11_0"/>
      <w:bookmarkStart w:id="92" w:name="Tc_wVAjmV9RBUatBSDx0PbcXw_10_0"/>
      <w:bookmarkStart w:id="93" w:name="Tc_3to3PsFUvEaogVwLBVfxiw_9_0"/>
      <w:bookmarkStart w:id="94" w:name="Tc_OIqFHZNDP0-9jy_z0SnMJQ_8_0"/>
      <w:bookmarkStart w:id="95" w:name="Tc_jj8QoibR_UihNUamQ56iBQ_7_0"/>
      <w:bookmarkStart w:id="96" w:name="Tc_JlXEK6qsi0q0Z9XsDmhU2w_6_0"/>
      <w:bookmarkStart w:id="97" w:name="Tc_4hKmq7jMqU2ZqDPu6wbUWQ_5_5"/>
      <w:bookmarkStart w:id="98" w:name="Tc_2Nof5qtVtECXHuwrlIUn1A_5_2"/>
      <w:bookmarkStart w:id="99" w:name="Tc_8D51vCoOOUGHz8R6KDTi7A_5_0"/>
      <w:bookmarkStart w:id="100" w:name="Tc_CpdgADghEku291ehGjs8fg_4_0"/>
      <w:bookmarkStart w:id="101" w:name="Tc_v20bNeTmTE2muewJYcnfxw_3_0"/>
      <w:bookmarkStart w:id="102" w:name="Tc_DPVZh_ilvEu7JlDqSNGXhQ_2_5"/>
      <w:bookmarkStart w:id="103" w:name="Tc_F01wNecQOEazTmcHTDptkw_2_2"/>
      <w:bookmarkStart w:id="104" w:name="Tc_NIRn4yUJUU6qVlONlLDMwQ_1_5"/>
      <w:bookmarkStart w:id="105" w:name="Tc_E295XyyFX0CvE1bQ56gaQw_1_2"/>
      <w:bookmarkStart w:id="106" w:name="_26b96475_4198_4e5d_998b_d3dbf9d97ad1"/>
      <w:bookmarkStart w:id="107" w:name="Tc_w5kYk29gTkG3YmgmOqoacw_43_5"/>
      <w:bookmarkStart w:id="108" w:name="Tc_B2Qv7jypTEuLef6IxWbB3w_43_2"/>
      <w:bookmarkStart w:id="109" w:name="Tc_yOCObvv220uNrnNYG_R9wQ_43_0"/>
      <w:bookmarkStart w:id="110" w:name="Tc__SBDfg3I3UyvvvhPLnP31A_42_0"/>
      <w:bookmarkStart w:id="111" w:name="Tc_q19bjp6H7EKDJdn3rWReOQ_41_0"/>
      <w:bookmarkStart w:id="112" w:name="Tc_eglwpbOV9U-jrjqvVFJbRg_40_0"/>
      <w:bookmarkStart w:id="113" w:name="Tc_n8q5CzxMYkCfLCCD2lZyeA_39_0"/>
      <w:bookmarkStart w:id="114" w:name="Tc_ADeSfp2tE0GBBsFIjvMHFg_38_5"/>
      <w:bookmarkStart w:id="115" w:name="Tc_HkaUlwwX7UmhxzEO0FRKww_38_2"/>
      <w:bookmarkStart w:id="116" w:name="Tc_0cldQFj0qEO5LyOSkhjz0g_38_0"/>
      <w:bookmarkStart w:id="117" w:name="Tc_ImcVC2ur3EuCpmAIZ_EeUw_37_0"/>
      <w:bookmarkStart w:id="118" w:name="Tc_ZcGp0I9rjEmmfQ9fQVEhWQ_36_0"/>
      <w:bookmarkStart w:id="119" w:name="Tc_Eyi42Kcu4kySYLWOv4rdcw_35_5"/>
      <w:bookmarkStart w:id="120" w:name="Tc_Z8Gnz7-Q20anTL1ONO5EdA_35_2"/>
      <w:bookmarkStart w:id="121" w:name="Tc_D1FNugQUs0uJLrg-Yo0ZlQ_35_0"/>
      <w:bookmarkStart w:id="122" w:name="Tc__INOoMQCqEidXOqPklKCeg_34_0"/>
      <w:bookmarkStart w:id="123" w:name="Tc_ROXVeiBQAUmqre7ARptMXQ_33_0"/>
      <w:bookmarkStart w:id="124" w:name="Tc_6YeyrLBVOkC3jgHCuuLgPA_32_0"/>
      <w:bookmarkStart w:id="125" w:name="Tc_y2IFnY5pZkCrjF2zJ1_Tjg_31_0"/>
      <w:bookmarkStart w:id="126" w:name="Tc_PYOe8cAbUU29vcsPsau3-g_30_0"/>
      <w:bookmarkStart w:id="127" w:name="Tc_5VgXYsOh4U6sN0ZabYRRiQ_29_0"/>
      <w:bookmarkStart w:id="128" w:name="Tc_CPhJh5AmZUiDA9yKvJtDDg_28_0"/>
      <w:bookmarkStart w:id="129" w:name="Tc_76oDRBrtakqQZc8DZeQFVw_27_0"/>
      <w:bookmarkStart w:id="130" w:name="Tc_vH0FYQtPe0eO1Gcxs39I1g_26_0"/>
      <w:bookmarkStart w:id="131" w:name="Tc_G4Y8lwr4q0SlezBYhkWh_A_25_0"/>
      <w:bookmarkStart w:id="132" w:name="Tc_AGM2lowTiUSVmIp8g4yghw_24_0"/>
      <w:bookmarkStart w:id="133" w:name="Tc_i94BdR3bFE-g3nOGd-RsBA_23_0"/>
      <w:bookmarkStart w:id="134" w:name="Tc_g1K6XYNxPU66JXR6A4EJrg_22_5"/>
      <w:bookmarkStart w:id="135" w:name="Tc_7q--0avG206X9wUubfaZYg_22_2"/>
      <w:bookmarkStart w:id="136" w:name="Tc_CYk66C9gnEKU6i25ZTZx6Q_22_0"/>
      <w:bookmarkStart w:id="137" w:name="Tc_UWIb0jeb3k2N-HVN87eU0A_21_0"/>
      <w:bookmarkStart w:id="138" w:name="Tc_2h__ZkbHHk-LusGC2bqAIg_20_0"/>
      <w:bookmarkStart w:id="139" w:name="Tc_hwqbqPl4Y02duxHKOWg9Qw_19_5"/>
      <w:bookmarkStart w:id="140" w:name="Tc_fjkuC8FLZEu4xTAOe7SKrA_19_2"/>
      <w:bookmarkStart w:id="141" w:name="Tc_Y_28YzUfsU-sCa_Z6RDP1w_19_0"/>
      <w:bookmarkStart w:id="142" w:name="Tc_IENwSjT_zkioUGv2Mmb7Jg_18_0"/>
      <w:bookmarkStart w:id="143" w:name="Tc_DWaLvK1BRkqB8W7k6Q0RIQ_17_0"/>
      <w:bookmarkStart w:id="144" w:name="Tc_HKT54ROsKkiMPSCUztAY_A_16_0"/>
      <w:bookmarkStart w:id="145" w:name="Tc_Yo7aDkl4rUyZHbkGGxLE0Q_15_0"/>
      <w:bookmarkStart w:id="146" w:name="Tc_BrHH7Ae7HkaX2X1zRP_tFA_14_0"/>
      <w:bookmarkStart w:id="147" w:name="Tc_av5s9-cSgUOTGECKszfxgQ_13_0"/>
      <w:bookmarkStart w:id="148" w:name="Tc_9DJgV4nry0evg30zyjgnQQ_12_0"/>
      <w:bookmarkStart w:id="149" w:name="Tc_RM-Z8_ebhkiBIVTauDNgrw_11_0"/>
      <w:bookmarkStart w:id="150" w:name="Tc_wVAjmV9RBUatBSDx0PbcXw_10_0"/>
      <w:bookmarkStart w:id="151" w:name="Tc_3to3PsFUvEaogVwLBVfxiw_9_0"/>
      <w:bookmarkStart w:id="152" w:name="Tc_OIqFHZNDP0-9jy_z0SnMJQ_8_0"/>
      <w:bookmarkStart w:id="153" w:name="Tc_jj8QoibR_UihNUamQ56iBQ_7_0"/>
      <w:bookmarkStart w:id="154" w:name="Tc_JlXEK6qsi0q0Z9XsDmhU2w_6_0"/>
      <w:bookmarkStart w:id="155" w:name="Tc_4hKmq7jMqU2ZqDPu6wbUWQ_5_5"/>
      <w:bookmarkStart w:id="156" w:name="Tc_2Nof5qtVtECXHuwrlIUn1A_5_2"/>
      <w:bookmarkStart w:id="157" w:name="Tc_8D51vCoOOUGHz8R6KDTi7A_5_0"/>
      <w:bookmarkStart w:id="158" w:name="Tc_CpdgADghEku291ehGjs8fg_4_0"/>
      <w:bookmarkStart w:id="159" w:name="Tc_v20bNeTmTE2muewJYcnfxw_3_0"/>
      <w:bookmarkStart w:id="160" w:name="Tc_DPVZh_ilvEu7JlDqSNGXhQ_2_5"/>
      <w:bookmarkStart w:id="161" w:name="Tc_F01wNecQOEazTmcHTDptkw_2_2"/>
      <w:bookmarkStart w:id="162" w:name="Tc_NIRn4yUJUU6qVlONlLDMwQ_1_5"/>
      <w:bookmarkStart w:id="163" w:name="Tc_E295XyyFX0CvE1bQ56gaQw_1_2"/>
      <w:bookmarkStart w:id="164" w:name="_26b96475_4198_4e5d_998b_d3dbf9d97ad1"/>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201"/>
        <w:gridCol w:w="346"/>
        <w:gridCol w:w="208"/>
        <w:gridCol w:w="737"/>
        <w:gridCol w:w="346"/>
        <w:gridCol w:w="269"/>
        <w:gridCol w:w="1098"/>
      </w:tblGrid>
      <w:tr>
        <w:trPr/>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72635" cy="175260"/>
                      <wp:effectExtent l="0" t="0" r="0" b="0"/>
                      <wp:wrapNone/>
                      <wp:docPr id="1" name="Frame1"/>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2080" cy="175260"/>
                      <wp:effectExtent l="0" t="0" r="0" b="0"/>
                      <wp:wrapNone/>
                      <wp:docPr id="3" name="Frame3"/>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7995" cy="175260"/>
                      <wp:effectExtent l="0" t="0" r="0" b="0"/>
                      <wp:wrapNone/>
                      <wp:docPr id="4" name="Frame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70815" cy="175260"/>
                      <wp:effectExtent l="0" t="0" r="0" b="0"/>
                      <wp:wrapNone/>
                      <wp:docPr id="6" name="Frame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7230" cy="175260"/>
                      <wp:effectExtent l="0" t="0" r="0" b="0"/>
                      <wp:wrapNone/>
                      <wp:docPr id="7" name="Frame7"/>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  ​</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24,398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 net of allowance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7,923</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Dental supplies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2,854</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3,515</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39,649</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37,902</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 net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30,041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29,286</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surrender value of life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20,925</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19,244</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 net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13,255</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11,182</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17,178</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19,816</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18,849</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right of 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45,245</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44,542</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146,618</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140,281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186,267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178,183</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accrued liabilities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benefits and short-term 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16,693</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debt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lease liability</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35,301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35,733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42,119</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41,659</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69,230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68,417</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10,085</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121,145</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120,647</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156,446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156,380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 100,000,000 shares authorized; 4,704,780 and 4,247,018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35,686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28,627</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(6,088)</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29,821</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186,267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178,183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5" w:name="_05dd00e5_de96_4fa5_ae37_5feaa0c2bd33"/>
      <w:bookmarkEnd w:id="165"/>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166" w:name="CONDENSEDCONSOLIDATEDINCOMESTATEMENTS"/>
      <w:bookmarkEnd w:id="166"/>
      <w:r>
        <w:rPr>
          <w:rFonts w:ascii="Times New Roman;Times;serif" w:hAnsi="Times New Roman;Times;serif"/>
          <w:b/>
          <w:sz w:val="20"/>
        </w:rPr>
        <w:t>CONDENSED CONSOLIDATED STATEMENTS OF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67" w:name="Tc__RkKmSyXKkGwext21eYH4g_24_0"/>
      <w:bookmarkStart w:id="168" w:name="Tc_EAkIida_ik-7i6vqmpUgzw_23_0"/>
      <w:bookmarkStart w:id="169" w:name="Tc_JfIl-qvr9Eu3h3rn5m75EA_22_11"/>
      <w:bookmarkStart w:id="170" w:name="Tc_sA5z5tN4qkaa7_KdT_0N5A_22_8"/>
      <w:bookmarkStart w:id="171" w:name="Tc_fGY-A_hWSU6W8P1BDeWfBw_22_5"/>
      <w:bookmarkStart w:id="172" w:name="Tc_wKQkd02KOEmTyoopPf87nw_22_2"/>
      <w:bookmarkStart w:id="173" w:name="Tc_JdCci3PvIE6cdAle3--FHw_22_0"/>
      <w:bookmarkStart w:id="174" w:name="Tc_EOW7Uj1xSkqVjMMswo2h8A_21_11"/>
      <w:bookmarkStart w:id="175" w:name="Tc_AZNUNUGl4ku41uIAGvYhdA_21_8"/>
      <w:bookmarkStart w:id="176" w:name="Tc_yDydNp7SkUyNezG1-Rue0g_21_5"/>
      <w:bookmarkStart w:id="177" w:name="Tc_yGhK7uD6C0mE6EyTj_CFCw_21_2"/>
      <w:bookmarkStart w:id="178" w:name="Tc_4cLFiof1Mk2zaKkrlW9bBw_21_0"/>
      <w:bookmarkStart w:id="179" w:name="Tc_1kKGFn3ySky8T_5uFnDGwg_20_0"/>
      <w:bookmarkStart w:id="180" w:name="Tc_Hfc1utp1VkW8mvwMAqyfZA_19_11"/>
      <w:bookmarkStart w:id="181" w:name="Tc_0QYa2CxD5U25Mqi4iTOM-g_19_8"/>
      <w:bookmarkStart w:id="182" w:name="Tc_xxrZbWNDNk-Lqk5YyPIVCQ_19_5"/>
      <w:bookmarkStart w:id="183" w:name="Tc_xJit06DV80esZLo8qEx52Q_19_2"/>
      <w:bookmarkStart w:id="184" w:name="Tc_RHbPJdmqVUeOXkK7nzjDdQ_19_0"/>
      <w:bookmarkStart w:id="185" w:name="Tc_j5weLfR45EaZXeYdBw5tBA_18_0"/>
      <w:bookmarkStart w:id="186" w:name="Tc_iUYed7AQs0K_n3ptZqr2Sw_17_0"/>
      <w:bookmarkStart w:id="187" w:name="Tc_QsnKJtj_G0uEpfzCNWZfpw_16_0"/>
      <w:bookmarkStart w:id="188" w:name="Tc_Qbd2WvwKfkiljExOJKxrGQ_15_0"/>
      <w:bookmarkStart w:id="189" w:name="Tc_vpqbMC9FtEyD3Xg11mMXHw_14_0"/>
      <w:bookmarkStart w:id="190" w:name="Tc_ckK9HqudUUm2MBHBhxWP-Q_13_0"/>
      <w:bookmarkStart w:id="191" w:name="Tc_zChvhn2ufECLSNMJgXohAg_12_0"/>
      <w:bookmarkStart w:id="192" w:name="Tc_oVyFrMKDL0KuUgT-C5JUIw_11_0"/>
      <w:bookmarkStart w:id="193" w:name="Tc_AiSD2scKe0eqF06uC7g8zA_10_0"/>
      <w:bookmarkStart w:id="194" w:name="Tc_2p1Q3K5WNk2Z6u5GJB3wKA_9_0"/>
      <w:bookmarkStart w:id="195" w:name="Tc_qxUvQpuMyEq8fb3pEFq6Wg_8_0"/>
      <w:bookmarkStart w:id="196" w:name="Tc_od9m3XrJDEOjiOG2T2lnIg_7_0"/>
      <w:bookmarkStart w:id="197" w:name="Tc_mgn9N9vg7UeLTCnqAk1uDw_6_0"/>
      <w:bookmarkStart w:id="198" w:name="Tc_81cBdyfztkayUVoOEl0P2g_5_0"/>
      <w:bookmarkStart w:id="199" w:name="Tc_PLpTlx9p4UaYlEtWiENn8g_4_11"/>
      <w:bookmarkStart w:id="200" w:name="Tc_zZy4rLWJDUKDeOXoyuwfjQ_4_8"/>
      <w:bookmarkStart w:id="201" w:name="Tc_lGc_5DkMr0CmfWUbmIAfiw_4_5"/>
      <w:bookmarkStart w:id="202" w:name="Tc_7cSWOro8102Z6AevdPFEog_4_2"/>
      <w:bookmarkStart w:id="203" w:name="Tc_He77mvItSEi6LKmYhDbf1w_4_0"/>
      <w:bookmarkStart w:id="204" w:name="Tc_uW4eY4E3hE2LraV2l8OBBw_3_11"/>
      <w:bookmarkStart w:id="205" w:name="Tc_T4Mh9j4Tdk-NGVHZPATVXA_3_8"/>
      <w:bookmarkStart w:id="206" w:name="Tc_TF9jzdhz10WGXVKMTOYPeA_3_6"/>
      <w:bookmarkStart w:id="207" w:name="Tc_5NxxwWhpU0q8YgbQ-CsuMg_3_3"/>
      <w:bookmarkStart w:id="208" w:name="Tc_CEHcaHc16EGmL5jt--qtlg_2_8"/>
      <w:bookmarkStart w:id="209" w:name="Tc_F1ZkMzUh00-iMkjRoOUqGg_2_2"/>
      <w:bookmarkStart w:id="210" w:name="Tc_ek4PUdNvdE6wxDYCV6thAw_1_8"/>
      <w:bookmarkStart w:id="211" w:name="Tc_Uy0vVVYUUES8pPt6HtyXPA_1_2"/>
      <w:bookmarkStart w:id="212" w:name="_f8b0a4d7_7a1e_4ead_82ca_1e2c36ef44df"/>
      <w:bookmarkStart w:id="213" w:name="Tc__RkKmSyXKkGwext21eYH4g_24_0"/>
      <w:bookmarkStart w:id="214" w:name="Tc_EAkIida_ik-7i6vqmpUgzw_23_0"/>
      <w:bookmarkStart w:id="215" w:name="Tc_JfIl-qvr9Eu3h3rn5m75EA_22_11"/>
      <w:bookmarkStart w:id="216" w:name="Tc_sA5z5tN4qkaa7_KdT_0N5A_22_8"/>
      <w:bookmarkStart w:id="217" w:name="Tc_fGY-A_hWSU6W8P1BDeWfBw_22_5"/>
      <w:bookmarkStart w:id="218" w:name="Tc_wKQkd02KOEmTyoopPf87nw_22_2"/>
      <w:bookmarkStart w:id="219" w:name="Tc_JdCci3PvIE6cdAle3--FHw_22_0"/>
      <w:bookmarkStart w:id="220" w:name="Tc_EOW7Uj1xSkqVjMMswo2h8A_21_11"/>
      <w:bookmarkStart w:id="221" w:name="Tc_AZNUNUGl4ku41uIAGvYhdA_21_8"/>
      <w:bookmarkStart w:id="222" w:name="Tc_yDydNp7SkUyNezG1-Rue0g_21_5"/>
      <w:bookmarkStart w:id="223" w:name="Tc_yGhK7uD6C0mE6EyTj_CFCw_21_2"/>
      <w:bookmarkStart w:id="224" w:name="Tc_4cLFiof1Mk2zaKkrlW9bBw_21_0"/>
      <w:bookmarkStart w:id="225" w:name="Tc_1kKGFn3ySky8T_5uFnDGwg_20_0"/>
      <w:bookmarkStart w:id="226" w:name="Tc_Hfc1utp1VkW8mvwMAqyfZA_19_11"/>
      <w:bookmarkStart w:id="227" w:name="Tc_0QYa2CxD5U25Mqi4iTOM-g_19_8"/>
      <w:bookmarkStart w:id="228" w:name="Tc_xxrZbWNDNk-Lqk5YyPIVCQ_19_5"/>
      <w:bookmarkStart w:id="229" w:name="Tc_xJit06DV80esZLo8qEx52Q_19_2"/>
      <w:bookmarkStart w:id="230" w:name="Tc_RHbPJdmqVUeOXkK7nzjDdQ_19_0"/>
      <w:bookmarkStart w:id="231" w:name="Tc_j5weLfR45EaZXeYdBw5tBA_18_0"/>
      <w:bookmarkStart w:id="232" w:name="Tc_iUYed7AQs0K_n3ptZqr2Sw_17_0"/>
      <w:bookmarkStart w:id="233" w:name="Tc_QsnKJtj_G0uEpfzCNWZfpw_16_0"/>
      <w:bookmarkStart w:id="234" w:name="Tc_Qbd2WvwKfkiljExOJKxrGQ_15_0"/>
      <w:bookmarkStart w:id="235" w:name="Tc_vpqbMC9FtEyD3Xg11mMXHw_14_0"/>
      <w:bookmarkStart w:id="236" w:name="Tc_ckK9HqudUUm2MBHBhxWP-Q_13_0"/>
      <w:bookmarkStart w:id="237" w:name="Tc_zChvhn2ufECLSNMJgXohAg_12_0"/>
      <w:bookmarkStart w:id="238" w:name="Tc_oVyFrMKDL0KuUgT-C5JUIw_11_0"/>
      <w:bookmarkStart w:id="239" w:name="Tc_AiSD2scKe0eqF06uC7g8zA_10_0"/>
      <w:bookmarkStart w:id="240" w:name="Tc_2p1Q3K5WNk2Z6u5GJB3wKA_9_0"/>
      <w:bookmarkStart w:id="241" w:name="Tc_qxUvQpuMyEq8fb3pEFq6Wg_8_0"/>
      <w:bookmarkStart w:id="242" w:name="Tc_od9m3XrJDEOjiOG2T2lnIg_7_0"/>
      <w:bookmarkStart w:id="243" w:name="Tc_mgn9N9vg7UeLTCnqAk1uDw_6_0"/>
      <w:bookmarkStart w:id="244" w:name="Tc_81cBdyfztkayUVoOEl0P2g_5_0"/>
      <w:bookmarkStart w:id="245" w:name="Tc_PLpTlx9p4UaYlEtWiENn8g_4_11"/>
      <w:bookmarkStart w:id="246" w:name="Tc_zZy4rLWJDUKDeOXoyuwfjQ_4_8"/>
      <w:bookmarkStart w:id="247" w:name="Tc_lGc_5DkMr0CmfWUbmIAfiw_4_5"/>
      <w:bookmarkStart w:id="248" w:name="Tc_7cSWOro8102Z6AevdPFEog_4_2"/>
      <w:bookmarkStart w:id="249" w:name="Tc_He77mvItSEi6LKmYhDbf1w_4_0"/>
      <w:bookmarkStart w:id="250" w:name="Tc_uW4eY4E3hE2LraV2l8OBBw_3_11"/>
      <w:bookmarkStart w:id="251" w:name="Tc_T4Mh9j4Tdk-NGVHZPATVXA_3_8"/>
      <w:bookmarkStart w:id="252" w:name="Tc_TF9jzdhz10WGXVKMTOYPeA_3_6"/>
      <w:bookmarkStart w:id="253" w:name="Tc_5NxxwWhpU0q8YgbQ-CsuMg_3_3"/>
      <w:bookmarkStart w:id="254" w:name="Tc_CEHcaHc16EGmL5jt--qtlg_2_8"/>
      <w:bookmarkStart w:id="255" w:name="Tc_F1ZkMzUh00-iMkjRoOUqGg_2_2"/>
      <w:bookmarkStart w:id="256" w:name="Tc_ek4PUdNvdE6wxDYCV6thAw_1_8"/>
      <w:bookmarkStart w:id="257" w:name="Tc_Uy0vVVYUUES8pPt6HtyXPA_1_2"/>
      <w:bookmarkStart w:id="258" w:name="_f8b0a4d7_7a1e_4ead_82ca_1e2c36ef44df"/>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205" w:type="dxa"/>
        <w:jc w:val="left"/>
        <w:tblInd w:w="0" w:type="dxa"/>
        <w:tblLayout w:type="fixed"/>
        <w:tblCellMar>
          <w:top w:w="0" w:type="dxa"/>
          <w:left w:w="0" w:type="dxa"/>
          <w:bottom w:w="0" w:type="dxa"/>
          <w:right w:w="0" w:type="dxa"/>
        </w:tblCellMar>
      </w:tblPr>
      <w:tblGrid>
        <w:gridCol w:w="4136"/>
        <w:gridCol w:w="346"/>
        <w:gridCol w:w="211"/>
        <w:gridCol w:w="931"/>
        <w:gridCol w:w="346"/>
        <w:gridCol w:w="211"/>
        <w:gridCol w:w="931"/>
        <w:gridCol w:w="346"/>
        <w:gridCol w:w="211"/>
        <w:gridCol w:w="931"/>
        <w:gridCol w:w="346"/>
        <w:gridCol w:w="211"/>
        <w:gridCol w:w="1048"/>
      </w:tblGrid>
      <w:tr>
        <w:trPr/>
        <w:tc>
          <w:tcPr>
            <w:tcW w:w="4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26360" cy="175260"/>
                      <wp:effectExtent l="0" t="0" r="0" b="0"/>
                      <wp:wrapNone/>
                      <wp:docPr id="8" name="Frame8"/>
                      <a:graphic xmlns:a="http://schemas.openxmlformats.org/drawingml/2006/main">
                        <a:graphicData uri="http://schemas.microsoft.com/office/word/2010/wordprocessingShape">
                          <wps:wsp>
                            <wps:cNvSpPr txBox="1"/>
                            <wps:spPr>
                              <a:xfrm>
                                <a:off x="0" y="0"/>
                                <a:ext cx="262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5480" cy="175260"/>
                      <wp:effectExtent l="0" t="0" r="0" b="0"/>
                      <wp:wrapNone/>
                      <wp:docPr id="20" name="Frame20"/>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7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122,035</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pPr>
            <w:r>
              <w:rPr/>
              <w:t>​</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72,733</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 and Laboratory fees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8,576</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occupancy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8,090</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SERVICES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100,273</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number of common shares outstanding</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4,571,346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1,777,942</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6,235,305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6,091,899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1,777,942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259" w:name="_7d18dcae_a8f5_42a8_8d92_086733c87095"/>
      <w:bookmarkEnd w:id="259"/>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260" w:name="CONDENSEDCONSOLIDATEDSTATEMENTSOFEQUITYD"/>
      <w:bookmarkEnd w:id="260"/>
      <w:r>
        <w:rPr>
          <w:rFonts w:ascii="Times New Roman;Times;serif" w:hAnsi="Times New Roman;Times;serif"/>
          <w:b/>
          <w:sz w:val="20"/>
        </w:rPr>
        <w:t>CONDENSED CONSOLIDATED STATEMENTS OF SHAREHOLDERS’ EQUITY (DEFICIT)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61" w:name="Tc_ZRNrmjkjSUCZ9MhM1hVpiw_11_14"/>
      <w:bookmarkStart w:id="262" w:name="Tc_OwHAn8srCk6Gf2RfcqmUfA_11_11"/>
      <w:bookmarkStart w:id="263" w:name="Tc_zKNFpbpc9kCN7e14_BCs3Q_11_8"/>
      <w:bookmarkStart w:id="264" w:name="Tc_xznidXOnIEmc6RN3aADFrg_11_5"/>
      <w:bookmarkStart w:id="265" w:name="Tc_ivbVrEF3zEqF6XLYRs59PA_11_2"/>
      <w:bookmarkStart w:id="266" w:name="Tc_K9-yE_vnS0KF-yDqexvLqw_11_0"/>
      <w:bookmarkStart w:id="267" w:name="Tc_Tlzp_p8_Dk25IW2iGNervQ_10_12"/>
      <w:bookmarkStart w:id="268" w:name="Tc_y2R5vZX67Uy2O-99sfwn4A_10_6"/>
      <w:bookmarkStart w:id="269" w:name="Tc__LHSbkbFxUeDaJkV7MYZBw_10_3"/>
      <w:bookmarkStart w:id="270" w:name="Tc_90slKjjIUE2G3b8dP8nOoA_10_0"/>
      <w:bookmarkStart w:id="271" w:name="Tc_bTS4yu2XnEGEn2ITp_j47w_9_9"/>
      <w:bookmarkStart w:id="272" w:name="Tc_NNPeukOzTEGtViza1GLjxg_9_6"/>
      <w:bookmarkStart w:id="273" w:name="Tc_bThHRyxbU0CIfoms9R5ZOA_9_3"/>
      <w:bookmarkStart w:id="274" w:name="Tc_0QrmnHoX3Uq1p3SvGG8xgg_9_0"/>
      <w:bookmarkStart w:id="275" w:name="Tc_WrYSHTyA6EKRasb-x0q1FQ_8_14"/>
      <w:bookmarkStart w:id="276" w:name="Tc_Y_8vmTflUEKCsurHFGdUeQ_8_11"/>
      <w:bookmarkStart w:id="277" w:name="Tc_FuciXPci6E64oiwALQyC6w_8_8"/>
      <w:bookmarkStart w:id="278" w:name="Tc_J465bcZsyU-An8FDP05g6A_8_5"/>
      <w:bookmarkStart w:id="279" w:name="Tc_vHiRTubb_ki_W_CJdedKuw_8_2"/>
      <w:bookmarkStart w:id="280" w:name="Tc_PivwntszDkel2iy_YzTZNg_8_0"/>
      <w:bookmarkStart w:id="281" w:name="Tc_sXsXwIowQEWcAEhnpDwv4w_7_12"/>
      <w:bookmarkStart w:id="282" w:name="Tc_lIyZOwyia0C_K50eJkkM5A_7_6"/>
      <w:bookmarkStart w:id="283" w:name="Tc_BoZrEegfzUWMa9Z1ZSJxzw_7_3"/>
      <w:bookmarkStart w:id="284" w:name="Tc_axsTHhVPXkGAmnkM6xEDbw_7_0"/>
      <w:bookmarkStart w:id="285" w:name="Tc_sH53UXCnMUCDxt3A1yS7WQ_6_9"/>
      <w:bookmarkStart w:id="286" w:name="Tc_82ls9LLD2E2NFgicLqhgDw_6_6"/>
      <w:bookmarkStart w:id="287" w:name="Tc_iEhjP-qP9EeMW2kLQDx2aA_6_3"/>
      <w:bookmarkStart w:id="288" w:name="Tc_n4PgqCb5IEaffbGMDeGghw_6_0"/>
      <w:bookmarkStart w:id="289" w:name="Tc_eYIPop32EkKHHvidjRkmYw_5_14"/>
      <w:bookmarkStart w:id="290" w:name="Tc_ARppp2aUyUKWSYER8uTHrw_5_11"/>
      <w:bookmarkStart w:id="291" w:name="Tc_W2Or0qoJ7E24t4XHiCnE1w_5_8"/>
      <w:bookmarkStart w:id="292" w:name="Tc_jmzZNNHsLkOcTDkZ2MrACQ_5_5"/>
      <w:bookmarkStart w:id="293" w:name="Tc_fxu5rOmrJkOwN_ElCIO9ww_5_2"/>
      <w:bookmarkStart w:id="294" w:name="Tc_7bkI041uz0OA2_xvGkgQ0Q_5_0"/>
      <w:bookmarkStart w:id="295" w:name="Tc_DrBKEkPe4EeDxWEgj7Meuw_4_15"/>
      <w:bookmarkStart w:id="296" w:name="Tc_BifQ1dgwCECONlw1W87u_A_4_12"/>
      <w:bookmarkStart w:id="297" w:name="Tc_WUCIE7Ixl02zgsmF8n6qXw_4_9"/>
      <w:bookmarkStart w:id="298" w:name="Tc_z1KCJJtdNkaMw3U9Brx8BA_4_6"/>
      <w:bookmarkStart w:id="299" w:name="Tc_8R8Vvw-Jt0KGqfqkNYkIYA_4_3"/>
      <w:bookmarkStart w:id="300" w:name="Tc_xR8DJye-c0mcm7lK1saPiQ_3_15"/>
      <w:bookmarkStart w:id="301" w:name="Tc_xvA4WaDpAkSaoibloBjC9w_3_12"/>
      <w:bookmarkStart w:id="302" w:name="Tc_liMF713ciUOIO7HJXjuCHA_3_9"/>
      <w:bookmarkStart w:id="303" w:name="Tc_fOzIxhrx0kWKjjWqbgDE9Q_3_6"/>
      <w:bookmarkStart w:id="304" w:name="Tc_vge1ypntR0-4mOZA7ygUkQ_3_3"/>
      <w:bookmarkStart w:id="305" w:name="Tc_k_33iLr2UES-TaHhd4yyNw_2_15"/>
      <w:bookmarkStart w:id="306" w:name="Tc_FOYyZNkiWkOsAWFrfe6qDw_2_12"/>
      <w:bookmarkStart w:id="307" w:name="Tc_o9vyUvzf9Eem14_1UjzmXA_2_9"/>
      <w:bookmarkStart w:id="308" w:name="Tc_syH0B66y5EW0JtX6jIUiRg_2_3"/>
      <w:bookmarkStart w:id="309" w:name="_231c5ab6_21ed_49e9_ad08_f8a7551a4003"/>
      <w:bookmarkStart w:id="310" w:name="Tc_ZRNrmjkjSUCZ9MhM1hVpiw_11_14"/>
      <w:bookmarkStart w:id="311" w:name="Tc_OwHAn8srCk6Gf2RfcqmUfA_11_11"/>
      <w:bookmarkStart w:id="312" w:name="Tc_zKNFpbpc9kCN7e14_BCs3Q_11_8"/>
      <w:bookmarkStart w:id="313" w:name="Tc_xznidXOnIEmc6RN3aADFrg_11_5"/>
      <w:bookmarkStart w:id="314" w:name="Tc_ivbVrEF3zEqF6XLYRs59PA_11_2"/>
      <w:bookmarkStart w:id="315" w:name="Tc_K9-yE_vnS0KF-yDqexvLqw_11_0"/>
      <w:bookmarkStart w:id="316" w:name="Tc_Tlzp_p8_Dk25IW2iGNervQ_10_12"/>
      <w:bookmarkStart w:id="317" w:name="Tc_y2R5vZX67Uy2O-99sfwn4A_10_6"/>
      <w:bookmarkStart w:id="318" w:name="Tc__LHSbkbFxUeDaJkV7MYZBw_10_3"/>
      <w:bookmarkStart w:id="319" w:name="Tc_90slKjjIUE2G3b8dP8nOoA_10_0"/>
      <w:bookmarkStart w:id="320" w:name="Tc_bTS4yu2XnEGEn2ITp_j47w_9_9"/>
      <w:bookmarkStart w:id="321" w:name="Tc_NNPeukOzTEGtViza1GLjxg_9_6"/>
      <w:bookmarkStart w:id="322" w:name="Tc_bThHRyxbU0CIfoms9R5ZOA_9_3"/>
      <w:bookmarkStart w:id="323" w:name="Tc_0QrmnHoX3Uq1p3SvGG8xgg_9_0"/>
      <w:bookmarkStart w:id="324" w:name="Tc_WrYSHTyA6EKRasb-x0q1FQ_8_14"/>
      <w:bookmarkStart w:id="325" w:name="Tc_Y_8vmTflUEKCsurHFGdUeQ_8_11"/>
      <w:bookmarkStart w:id="326" w:name="Tc_FuciXPci6E64oiwALQyC6w_8_8"/>
      <w:bookmarkStart w:id="327" w:name="Tc_J465bcZsyU-An8FDP05g6A_8_5"/>
      <w:bookmarkStart w:id="328" w:name="Tc_vHiRTubb_ki_W_CJdedKuw_8_2"/>
      <w:bookmarkStart w:id="329" w:name="Tc_PivwntszDkel2iy_YzTZNg_8_0"/>
      <w:bookmarkStart w:id="330" w:name="Tc_sXsXwIowQEWcAEhnpDwv4w_7_12"/>
      <w:bookmarkStart w:id="331" w:name="Tc_lIyZOwyia0C_K50eJkkM5A_7_6"/>
      <w:bookmarkStart w:id="332" w:name="Tc_BoZrEegfzUWMa9Z1ZSJxzw_7_3"/>
      <w:bookmarkStart w:id="333" w:name="Tc_axsTHhVPXkGAmnkM6xEDbw_7_0"/>
      <w:bookmarkStart w:id="334" w:name="Tc_sH53UXCnMUCDxt3A1yS7WQ_6_9"/>
      <w:bookmarkStart w:id="335" w:name="Tc_82ls9LLD2E2NFgicLqhgDw_6_6"/>
      <w:bookmarkStart w:id="336" w:name="Tc_iEhjP-qP9EeMW2kLQDx2aA_6_3"/>
      <w:bookmarkStart w:id="337" w:name="Tc_n4PgqCb5IEaffbGMDeGghw_6_0"/>
      <w:bookmarkStart w:id="338" w:name="Tc_eYIPop32EkKHHvidjRkmYw_5_14"/>
      <w:bookmarkStart w:id="339" w:name="Tc_ARppp2aUyUKWSYER8uTHrw_5_11"/>
      <w:bookmarkStart w:id="340" w:name="Tc_W2Or0qoJ7E24t4XHiCnE1w_5_8"/>
      <w:bookmarkStart w:id="341" w:name="Tc_jmzZNNHsLkOcTDkZ2MrACQ_5_5"/>
      <w:bookmarkStart w:id="342" w:name="Tc_fxu5rOmrJkOwN_ElCIO9ww_5_2"/>
      <w:bookmarkStart w:id="343" w:name="Tc_7bkI041uz0OA2_xvGkgQ0Q_5_0"/>
      <w:bookmarkStart w:id="344" w:name="Tc_DrBKEkPe4EeDxWEgj7Meuw_4_15"/>
      <w:bookmarkStart w:id="345" w:name="Tc_BifQ1dgwCECONlw1W87u_A_4_12"/>
      <w:bookmarkStart w:id="346" w:name="Tc_WUCIE7Ixl02zgsmF8n6qXw_4_9"/>
      <w:bookmarkStart w:id="347" w:name="Tc_z1KCJJtdNkaMw3U9Brx8BA_4_6"/>
      <w:bookmarkStart w:id="348" w:name="Tc_8R8Vvw-Jt0KGqfqkNYkIYA_4_3"/>
      <w:bookmarkStart w:id="349" w:name="Tc_xR8DJye-c0mcm7lK1saPiQ_3_15"/>
      <w:bookmarkStart w:id="350" w:name="Tc_xvA4WaDpAkSaoibloBjC9w_3_12"/>
      <w:bookmarkStart w:id="351" w:name="Tc_liMF713ciUOIO7HJXjuCHA_3_9"/>
      <w:bookmarkStart w:id="352" w:name="Tc_fOzIxhrx0kWKjjWqbgDE9Q_3_6"/>
      <w:bookmarkStart w:id="353" w:name="Tc_vge1ypntR0-4mOZA7ygUkQ_3_3"/>
      <w:bookmarkStart w:id="354" w:name="Tc_k_33iLr2UES-TaHhd4yyNw_2_15"/>
      <w:bookmarkStart w:id="355" w:name="Tc_FOYyZNkiWkOsAWFrfe6qDw_2_12"/>
      <w:bookmarkStart w:id="356" w:name="Tc_o9vyUvzf9Eem14_1UjzmXA_2_9"/>
      <w:bookmarkStart w:id="357" w:name="Tc_syH0B66y5EW0JtX6jIUiRg_2_3"/>
      <w:bookmarkStart w:id="358" w:name="_231c5ab6_21ed_49e9_ad08_f8a7551a400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tbl>
      <w:tblPr>
        <w:tblW w:w="10205" w:type="dxa"/>
        <w:jc w:val="left"/>
        <w:tblInd w:w="0" w:type="dxa"/>
        <w:tblLayout w:type="fixed"/>
        <w:tblCellMar>
          <w:top w:w="0" w:type="dxa"/>
          <w:left w:w="0" w:type="dxa"/>
          <w:bottom w:w="0" w:type="dxa"/>
          <w:right w:w="0" w:type="dxa"/>
        </w:tblCellMar>
      </w:tblPr>
      <w:tblGrid>
        <w:gridCol w:w="2548"/>
        <w:gridCol w:w="346"/>
        <w:gridCol w:w="211"/>
        <w:gridCol w:w="766"/>
        <w:gridCol w:w="346"/>
        <w:gridCol w:w="211"/>
        <w:gridCol w:w="766"/>
        <w:gridCol w:w="346"/>
        <w:gridCol w:w="211"/>
        <w:gridCol w:w="1109"/>
        <w:gridCol w:w="346"/>
        <w:gridCol w:w="211"/>
        <w:gridCol w:w="871"/>
        <w:gridCol w:w="346"/>
        <w:gridCol w:w="211"/>
        <w:gridCol w:w="1360"/>
      </w:tblGrid>
      <w:tr>
        <w:trPr/>
        <w:tc>
          <w:tcPr>
            <w:tcW w:w="2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17980" cy="175260"/>
                      <wp:effectExtent l="0" t="0" r="0" b="0"/>
                      <wp:wrapNone/>
                      <wp:docPr id="21" name="Frame21"/>
                      <a:graphic xmlns:a="http://schemas.openxmlformats.org/drawingml/2006/main">
                        <a:graphicData uri="http://schemas.microsoft.com/office/word/2010/wordprocessingShape">
                          <wps:wsp>
                            <wps:cNvSpPr txBox="1"/>
                            <wps:spPr>
                              <a:xfrm>
                                <a:off x="0" y="0"/>
                                <a:ext cx="161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6410" cy="175260"/>
                      <wp:effectExtent l="0" t="0" r="0" b="0"/>
                      <wp:wrapNone/>
                      <wp:docPr id="24" name="Frame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86410" cy="175260"/>
                      <wp:effectExtent l="0" t="0" r="0" b="0"/>
                      <wp:wrapNone/>
                      <wp:docPr id="27" name="Frame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04215" cy="175260"/>
                      <wp:effectExtent l="0" t="0" r="0" b="0"/>
                      <wp:wrapNone/>
                      <wp:docPr id="30" name="Frame30"/>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53085" cy="175260"/>
                      <wp:effectExtent l="0" t="0" r="0" b="0"/>
                      <wp:wrapNone/>
                      <wp:docPr id="33" name="Frame3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63600" cy="175260"/>
                      <wp:effectExtent l="0" t="0" r="0" b="0"/>
                      <wp:wrapNone/>
                      <wp:docPr id="36" name="Frame36"/>
                      <a:graphic xmlns:a="http://schemas.openxmlformats.org/drawingml/2006/main">
                        <a:graphicData uri="http://schemas.microsoft.com/office/word/2010/wordprocessingShape">
                          <wps:wsp>
                            <wps:cNvSpPr txBox="1"/>
                            <wps:spPr>
                              <a:xfrm>
                                <a:off x="0" y="0"/>
                                <a:ext cx="863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r>
      <w:tr>
        <w:trPr/>
        <w:tc>
          <w:tcPr>
            <w:tcW w:w="25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PDPI</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5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5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 (Deficit)</w:t>
            </w:r>
          </w:p>
        </w:tc>
      </w:tr>
      <w:tr>
        <w:trPr/>
        <w:tc>
          <w:tcPr>
            <w:tcW w:w="2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21,803</w:t>
            </w:r>
          </w:p>
        </w:tc>
      </w:tr>
      <w:tr>
        <w:trPr/>
        <w:tc>
          <w:tcPr>
            <w:tcW w:w="2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w:t>
            </w:r>
          </w:p>
        </w:tc>
      </w:tr>
      <w:tr>
        <w:trPr/>
        <w:tc>
          <w:tcPr>
            <w:tcW w:w="2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2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 March 31, 2026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32,651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25,437</w:t>
            </w:r>
          </w:p>
        </w:tc>
      </w:tr>
      <w:tr>
        <w:trPr/>
        <w:tc>
          <w:tcPr>
            <w:tcW w:w="2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3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2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r>
      <w:tr>
        <w:trPr/>
        <w:tc>
          <w:tcPr>
            <w:tcW w:w="2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29,821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59" w:name="Tc_RCZMSjHqOE2kJAJT1Ygm8g_10_14"/>
      <w:bookmarkStart w:id="360" w:name="Tc_OlA2wdGz10avPguF_rLP7w_10_11"/>
      <w:bookmarkStart w:id="361" w:name="Tc_ATqy48dA_U-ESLqN6RbJFw_10_8"/>
      <w:bookmarkStart w:id="362" w:name="Tc_leVECIJiWUWA7p_kcM-UUg_10_5"/>
      <w:bookmarkStart w:id="363" w:name="Tc_cAByd-77ZEOvRWLtWHnFyw_10_2"/>
      <w:bookmarkStart w:id="364" w:name="Tc_RTtDL0TEl0yKzb4AOaf97g_10_0"/>
      <w:bookmarkStart w:id="365" w:name="Tc_mMhmPJT-E0WBFN9ALEvPKg_9_12"/>
      <w:bookmarkStart w:id="366" w:name="Tc_KgEieEe6wEeUI7_saqeqoQ_9_6"/>
      <w:bookmarkStart w:id="367" w:name="Tc_OB8ItXKsjkKtkq-Y0iRcTg_9_3"/>
      <w:bookmarkStart w:id="368" w:name="Tc_VbJydvd6ZEOuAdGv8TEr6Q_9_0"/>
      <w:bookmarkStart w:id="369" w:name="Tc_VdqFiQ7LbEGTgWZ-BzoyBw_8_9"/>
      <w:bookmarkStart w:id="370" w:name="Tc_2PLyvBfXH06d2BLCqoWuAQ_8_3"/>
      <w:bookmarkStart w:id="371" w:name="Tc_pewLhlddFUCFzjMrrCVdWw_8_0"/>
      <w:bookmarkStart w:id="372" w:name="Tc_R8vmPTf4PEaXZjk-sZ0V5A_7_14"/>
      <w:bookmarkStart w:id="373" w:name="Tc_-BqmLLFNY0SyU3hPtERlLQ_7_11"/>
      <w:bookmarkStart w:id="374" w:name="Tc_1Cdn6XYFykavsC8uz9EwvA_7_8"/>
      <w:bookmarkStart w:id="375" w:name="Tc_VSnnEMV7NECEhVgNHAgBiw_7_5"/>
      <w:bookmarkStart w:id="376" w:name="Tc_7HDD3uKgE0u069OQGhiYjQ_7_2"/>
      <w:bookmarkStart w:id="377" w:name="Tc_38byHFTfDUWetdy2YXpIfA_7_0"/>
      <w:bookmarkStart w:id="378" w:name="Tc_qHIIBpC0g02nnaqB3YB0Vw_6_12"/>
      <w:bookmarkStart w:id="379" w:name="Tc_4xfl-B6BL0GKrs6kWOl8zQ_6_6"/>
      <w:bookmarkStart w:id="380" w:name="Tc_ZVREYjexVkWH5joegKK1gQ_6_3"/>
      <w:bookmarkStart w:id="381" w:name="Tc_a1Fgk9uGRUOhQNcZQg77FQ_6_0"/>
      <w:bookmarkStart w:id="382" w:name="Tc_JxFPgmFROUyxP8KeC8z0Og_5_12"/>
      <w:bookmarkStart w:id="383" w:name="Tc_eFBFzeNB3Uu5mQIJJ1xVhg_5_9"/>
      <w:bookmarkStart w:id="384" w:name="Tc_BXFp6wKTF0yUR5RrBhCNlQ_5_3"/>
      <w:bookmarkStart w:id="385" w:name="Tc_8pc64bi3rEm3CyI0pAxc7A_5_0"/>
      <w:bookmarkStart w:id="386" w:name="Tc_yCru_nIUWk-YDgd1TWlz8w_4_14"/>
      <w:bookmarkStart w:id="387" w:name="Tc_7f9RV3PFTUiXSOK3LIpQwQ_4_11"/>
      <w:bookmarkStart w:id="388" w:name="Tc_z19VV2Iue0epjUGyd_I1AA_4_8"/>
      <w:bookmarkStart w:id="389" w:name="Tc_xMWHYp93d0ebOp3zam6UkA_4_5"/>
      <w:bookmarkStart w:id="390" w:name="Tc_MnaTDMFkSk6wBDA82sYgww_4_2"/>
      <w:bookmarkStart w:id="391" w:name="Tc_fxOqnINS-0W-MYea0xbrGA_4_0"/>
      <w:bookmarkStart w:id="392" w:name="Tc_Bv-CqVbR60CebdbLa2-JEg_3_15"/>
      <w:bookmarkStart w:id="393" w:name="Tc_6exbTTnXdUuouzM956NSbg_3_12"/>
      <w:bookmarkStart w:id="394" w:name="Tc_8E8JVUVMJk2PaqPejAO2yA_3_9"/>
      <w:bookmarkStart w:id="395" w:name="Tc_qoeSBEFZGkqpjKlq06Uscg_3_6"/>
      <w:bookmarkStart w:id="396" w:name="Tc_qjrFdPgy9k6OBEC_yBBdbQ_3_3"/>
      <w:bookmarkStart w:id="397" w:name="Tc_WyXnlmjTCECXhmdzSXeO5w_2_15"/>
      <w:bookmarkStart w:id="398" w:name="Tc_eyf8Wk1yT0Sz75FZC9IxRQ_2_12"/>
      <w:bookmarkStart w:id="399" w:name="Tc_9DXeWn2zEU2ypVbVMw-Vuw_2_9"/>
      <w:bookmarkStart w:id="400" w:name="Tc_KuCklyDXvEyfUeuuoMUf7g_2_6"/>
      <w:bookmarkStart w:id="401" w:name="Tc_ETIxG6U9z0ytkq_LNK5N5g_2_3"/>
      <w:bookmarkStart w:id="402" w:name="Tc_ouduHBiXrU-N0wf_Qxkh8w_1_15"/>
      <w:bookmarkStart w:id="403" w:name="Tc_Mffmkccjd0GsK3wMgfoYxw_1_12"/>
      <w:bookmarkStart w:id="404" w:name="Tc_kDx7Ux9cZ0mM8FwyAyDDKw_1_9"/>
      <w:bookmarkStart w:id="405" w:name="Tc_60NsyMCdZkCnP9rsOsuzCQ_1_3"/>
      <w:bookmarkStart w:id="406" w:name="_617f2b8d_0718_47aa_8188_1ec3ac58b0b1"/>
      <w:bookmarkStart w:id="407" w:name="Tc_RCZMSjHqOE2kJAJT1Ygm8g_10_14"/>
      <w:bookmarkStart w:id="408" w:name="Tc_OlA2wdGz10avPguF_rLP7w_10_11"/>
      <w:bookmarkStart w:id="409" w:name="Tc_ATqy48dA_U-ESLqN6RbJFw_10_8"/>
      <w:bookmarkStart w:id="410" w:name="Tc_leVECIJiWUWA7p_kcM-UUg_10_5"/>
      <w:bookmarkStart w:id="411" w:name="Tc_cAByd-77ZEOvRWLtWHnFyw_10_2"/>
      <w:bookmarkStart w:id="412" w:name="Tc_RTtDL0TEl0yKzb4AOaf97g_10_0"/>
      <w:bookmarkStart w:id="413" w:name="Tc_mMhmPJT-E0WBFN9ALEvPKg_9_12"/>
      <w:bookmarkStart w:id="414" w:name="Tc_KgEieEe6wEeUI7_saqeqoQ_9_6"/>
      <w:bookmarkStart w:id="415" w:name="Tc_OB8ItXKsjkKtkq-Y0iRcTg_9_3"/>
      <w:bookmarkStart w:id="416" w:name="Tc_VbJydvd6ZEOuAdGv8TEr6Q_9_0"/>
      <w:bookmarkStart w:id="417" w:name="Tc_VdqFiQ7LbEGTgWZ-BzoyBw_8_9"/>
      <w:bookmarkStart w:id="418" w:name="Tc_2PLyvBfXH06d2BLCqoWuAQ_8_3"/>
      <w:bookmarkStart w:id="419" w:name="Tc_pewLhlddFUCFzjMrrCVdWw_8_0"/>
      <w:bookmarkStart w:id="420" w:name="Tc_R8vmPTf4PEaXZjk-sZ0V5A_7_14"/>
      <w:bookmarkStart w:id="421" w:name="Tc_-BqmLLFNY0SyU3hPtERlLQ_7_11"/>
      <w:bookmarkStart w:id="422" w:name="Tc_1Cdn6XYFykavsC8uz9EwvA_7_8"/>
      <w:bookmarkStart w:id="423" w:name="Tc_VSnnEMV7NECEhVgNHAgBiw_7_5"/>
      <w:bookmarkStart w:id="424" w:name="Tc_7HDD3uKgE0u069OQGhiYjQ_7_2"/>
      <w:bookmarkStart w:id="425" w:name="Tc_38byHFTfDUWetdy2YXpIfA_7_0"/>
      <w:bookmarkStart w:id="426" w:name="Tc_qHIIBpC0g02nnaqB3YB0Vw_6_12"/>
      <w:bookmarkStart w:id="427" w:name="Tc_4xfl-B6BL0GKrs6kWOl8zQ_6_6"/>
      <w:bookmarkStart w:id="428" w:name="Tc_ZVREYjexVkWH5joegKK1gQ_6_3"/>
      <w:bookmarkStart w:id="429" w:name="Tc_a1Fgk9uGRUOhQNcZQg77FQ_6_0"/>
      <w:bookmarkStart w:id="430" w:name="Tc_JxFPgmFROUyxP8KeC8z0Og_5_12"/>
      <w:bookmarkStart w:id="431" w:name="Tc_eFBFzeNB3Uu5mQIJJ1xVhg_5_9"/>
      <w:bookmarkStart w:id="432" w:name="Tc_BXFp6wKTF0yUR5RrBhCNlQ_5_3"/>
      <w:bookmarkStart w:id="433" w:name="Tc_8pc64bi3rEm3CyI0pAxc7A_5_0"/>
      <w:bookmarkStart w:id="434" w:name="Tc_yCru_nIUWk-YDgd1TWlz8w_4_14"/>
      <w:bookmarkStart w:id="435" w:name="Tc_7f9RV3PFTUiXSOK3LIpQwQ_4_11"/>
      <w:bookmarkStart w:id="436" w:name="Tc_z19VV2Iue0epjUGyd_I1AA_4_8"/>
      <w:bookmarkStart w:id="437" w:name="Tc_xMWHYp93d0ebOp3zam6UkA_4_5"/>
      <w:bookmarkStart w:id="438" w:name="Tc_MnaTDMFkSk6wBDA82sYgww_4_2"/>
      <w:bookmarkStart w:id="439" w:name="Tc_fxOqnINS-0W-MYea0xbrGA_4_0"/>
      <w:bookmarkStart w:id="440" w:name="Tc_Bv-CqVbR60CebdbLa2-JEg_3_15"/>
      <w:bookmarkStart w:id="441" w:name="Tc_6exbTTnXdUuouzM956NSbg_3_12"/>
      <w:bookmarkStart w:id="442" w:name="Tc_8E8JVUVMJk2PaqPejAO2yA_3_9"/>
      <w:bookmarkStart w:id="443" w:name="Tc_qoeSBEFZGkqpjKlq06Uscg_3_6"/>
      <w:bookmarkStart w:id="444" w:name="Tc_qjrFdPgy9k6OBEC_yBBdbQ_3_3"/>
      <w:bookmarkStart w:id="445" w:name="Tc_WyXnlmjTCECXhmdzSXeO5w_2_15"/>
      <w:bookmarkStart w:id="446" w:name="Tc_eyf8Wk1yT0Sz75FZC9IxRQ_2_12"/>
      <w:bookmarkStart w:id="447" w:name="Tc_9DXeWn2zEU2ypVbVMw-Vuw_2_9"/>
      <w:bookmarkStart w:id="448" w:name="Tc_KuCklyDXvEyfUeuuoMUf7g_2_6"/>
      <w:bookmarkStart w:id="449" w:name="Tc_ETIxG6U9z0ytkq_LNK5N5g_2_3"/>
      <w:bookmarkStart w:id="450" w:name="Tc_ouduHBiXrU-N0wf_Qxkh8w_1_15"/>
      <w:bookmarkStart w:id="451" w:name="Tc_Mffmkccjd0GsK3wMgfoYxw_1_12"/>
      <w:bookmarkStart w:id="452" w:name="Tc_kDx7Ux9cZ0mM8FwyAyDDKw_1_9"/>
      <w:bookmarkStart w:id="453" w:name="Tc_60NsyMCdZkCnP9rsOsuzCQ_1_3"/>
      <w:bookmarkStart w:id="454" w:name="_617f2b8d_0718_47aa_8188_1ec3ac58b0b1"/>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0036" w:type="dxa"/>
        <w:jc w:val="left"/>
        <w:tblInd w:w="0" w:type="dxa"/>
        <w:tblLayout w:type="fixed"/>
        <w:tblCellMar>
          <w:top w:w="0" w:type="dxa"/>
          <w:left w:w="0" w:type="dxa"/>
          <w:bottom w:w="0" w:type="dxa"/>
          <w:right w:w="0" w:type="dxa"/>
        </w:tblCellMar>
      </w:tblPr>
      <w:tblGrid>
        <w:gridCol w:w="2581"/>
        <w:gridCol w:w="346"/>
        <w:gridCol w:w="211"/>
        <w:gridCol w:w="766"/>
        <w:gridCol w:w="346"/>
        <w:gridCol w:w="211"/>
        <w:gridCol w:w="766"/>
        <w:gridCol w:w="346"/>
        <w:gridCol w:w="211"/>
        <w:gridCol w:w="1111"/>
        <w:gridCol w:w="346"/>
        <w:gridCol w:w="211"/>
        <w:gridCol w:w="871"/>
        <w:gridCol w:w="346"/>
        <w:gridCol w:w="211"/>
        <w:gridCol w:w="115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38935" cy="175260"/>
                      <wp:effectExtent l="0" t="0" r="0" b="0"/>
                      <wp:wrapNone/>
                      <wp:docPr id="37" name="Frame37"/>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86410" cy="175260"/>
                      <wp:effectExtent l="0" t="0" r="0" b="0"/>
                      <wp:wrapNone/>
                      <wp:docPr id="40" name="Frame4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86410" cy="175260"/>
                      <wp:effectExtent l="0" t="0" r="0" b="0"/>
                      <wp:wrapNone/>
                      <wp:docPr id="43" name="Frame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05485" cy="175260"/>
                      <wp:effectExtent l="0" t="0" r="0" b="0"/>
                      <wp:wrapNone/>
                      <wp:docPr id="46" name="Frame4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3085" cy="175260"/>
                      <wp:effectExtent l="0" t="0" r="0" b="0"/>
                      <wp:wrapNone/>
                      <wp:docPr id="49" name="Frame4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34060" cy="175260"/>
                      <wp:effectExtent l="0" t="0" r="0" b="0"/>
                      <wp:wrapNone/>
                      <wp:docPr id="52" name="Frame5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PDPI</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 March 31, 2025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5" w:name="_a5f946a3_dbb4_450b_8d83_212e59f66b1b"/>
      <w:bookmarkEnd w:id="455"/>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456" w:name="CONDENSEDCONSOLIDATEDSTATEMENTSOFCASHFLO"/>
      <w:bookmarkEnd w:id="456"/>
      <w:r>
        <w:rPr>
          <w:rFonts w:ascii="Times New Roman;Times;serif" w:hAnsi="Times New Roman;Times;serif"/>
          <w:b/>
          <w:sz w:val="20"/>
        </w:rPr>
        <w:t>CONDENSED CONSOLIDATED STATEMENTS OF CASH FLOWS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57" w:name="Tc_cVCO_k_bTUK3RQzTjbCfrg_45_0"/>
      <w:bookmarkStart w:id="458" w:name="Tc_DSJIEbX-UkehoAl4Rr-2Gw_44_0"/>
      <w:bookmarkStart w:id="459" w:name="Tc_ID522YNkXE-l09afW8vDeQ_43_0"/>
      <w:bookmarkStart w:id="460" w:name="Tc_mdtg7lN9-U6GjD8TAqHZog_42_5"/>
      <w:bookmarkStart w:id="461" w:name="Tc_63_PlkPIbE652YBHW7hNaQ_42_2"/>
      <w:bookmarkStart w:id="462" w:name="Tc_Se_OmB1ET0-Sqz9rdsezYw_42_0"/>
      <w:bookmarkStart w:id="463" w:name="Tc_Yw-5LYb2hEuq9c6n93-FzA_41_0"/>
      <w:bookmarkStart w:id="464" w:name="Tc_AF8AIjYWSUqaJc1cRff1jg_40_0"/>
      <w:bookmarkStart w:id="465" w:name="Tc_T74PFXHsVkOHZIm0LzKW6A_39_5"/>
      <w:bookmarkStart w:id="466" w:name="Tc_l_vVczhmiE6gUuxvbxOiYA_39_2"/>
      <w:bookmarkStart w:id="467" w:name="Tc_XMyWxICPFUmyEiINn3yvCQ_39_0"/>
      <w:bookmarkStart w:id="468" w:name="Tc_hiH8tKCv90iujB-7od5qiQ_38_0"/>
      <w:bookmarkStart w:id="469" w:name="Tc_TryNbobYcU6t4G4-oa8Mkw_37_0"/>
      <w:bookmarkStart w:id="470" w:name="Tc_xff3AXOj80CpvJEZvH9drw_36_0"/>
      <w:bookmarkStart w:id="471" w:name="Tc_4YdYXXcBIUWCV-vHbvVu_w_35_3"/>
      <w:bookmarkStart w:id="472" w:name="Tc_oaV6o4qiqka0Ohv5WRwFlw_35_0"/>
      <w:bookmarkStart w:id="473" w:name="Tc_GCpTICL210K3HxqZZU9zmQ_34_0"/>
      <w:bookmarkStart w:id="474" w:name="Tc_uASn1CXQhEuIwOPpuoJKUw_33_0"/>
      <w:bookmarkStart w:id="475" w:name="Tc_5ocvY_7_b0GtrVMnH7sNBQ_32_0"/>
      <w:bookmarkStart w:id="476" w:name="Tc_xhigD2BEEEygntTP5PEYVA_31_0"/>
      <w:bookmarkStart w:id="477" w:name="Tc_vz8RuBS7e0-7zAI-NeK4sw_30_3"/>
      <w:bookmarkStart w:id="478" w:name="Tc_cNHVQ_P3Rkirf4Ar2OaOjQ_30_0"/>
      <w:bookmarkStart w:id="479" w:name="Tc_yO3MWEAeq0SnS_Ns0IFqXg_29_5"/>
      <w:bookmarkStart w:id="480" w:name="Tc_j_2LmVSFokmDokt_F3voNQ_29_3"/>
      <w:bookmarkStart w:id="481" w:name="Tc_lAfZ66SymEu5hqlz5MeUSQ_29_2"/>
      <w:bookmarkStart w:id="482" w:name="Tc_-dUt5Km1k0GHKx9Uvhnb7w_29_0"/>
      <w:bookmarkStart w:id="483" w:name="Tc_HIxIgvgtLkO14nmPZ0FRnQ_28_0"/>
      <w:bookmarkStart w:id="484" w:name="Tc__DcoCm28e0Op8i8YGmaRyA_27_0"/>
      <w:bookmarkStart w:id="485" w:name="Tc_LxrzcnLYQE236nBzDVk-UQ_26_6"/>
      <w:bookmarkStart w:id="486" w:name="Tc_-sWQQUS2VkqWn4T-i0vPoQ_26_0"/>
      <w:bookmarkStart w:id="487" w:name="Tc_H7ZJRZUVnUSz95j6uiKLeg_25_0"/>
      <w:bookmarkStart w:id="488" w:name="Tc_Y6994jFOa0mnAesE950izA_24_0"/>
      <w:bookmarkStart w:id="489" w:name="Tc_mjOOUApiiUWX2m0e8l1Zfw_23_5"/>
      <w:bookmarkStart w:id="490" w:name="Tc_S8XmnIfrvE6myTVanee4Ag_23_2"/>
      <w:bookmarkStart w:id="491" w:name="Tc_NH9rAmFq-U2bzxzkYHua4w_23_0"/>
      <w:bookmarkStart w:id="492" w:name="Tc_EVQ8bioH80iyYAaC_Q7kLA_22_0"/>
      <w:bookmarkStart w:id="493" w:name="Tc_l1Q8iaisZUeHeZi20ufBxw_21_0"/>
      <w:bookmarkStart w:id="494" w:name="Tc_WvzQMbrcOk29DSuWrmGIrg_20_0"/>
      <w:bookmarkStart w:id="495" w:name="Tc_JDEKL-DiKkCFBxiRmcjxKA_19_0"/>
      <w:bookmarkStart w:id="496" w:name="Tc_AKu51REqfEedZlF_xKHpTQ_18_0"/>
      <w:bookmarkStart w:id="497" w:name="Tc_OjJB95KPPU6RIlTWaF-fGA_17_0"/>
      <w:bookmarkStart w:id="498" w:name="Tc_s0T31iHoyk-1FymvAaLbaw_16_0"/>
      <w:bookmarkStart w:id="499" w:name="Tc_cab76E1YMUGUE2FIBE0YXA_15_0"/>
      <w:bookmarkStart w:id="500" w:name="Tc_vodZliuACE6Obnwi5GEIzA_14_0"/>
      <w:bookmarkStart w:id="501" w:name="Tc_mFZwRPQ4JEi27iCZGGN-uQ_13_0"/>
      <w:bookmarkStart w:id="502" w:name="Tc_0mfTZNAh9Um3O7qcV0Ysjw_12_6"/>
      <w:bookmarkStart w:id="503" w:name="Tc_PTJKOTGiPkaqDG-ZV6R2rg_12_0"/>
      <w:bookmarkStart w:id="504" w:name="Tc_CKSrp4yTtU6AC90jfHWn2w_11_0"/>
      <w:bookmarkStart w:id="505" w:name="Tc_FEja6F81_E-Ix85Bs4oP1A_10_0"/>
      <w:bookmarkStart w:id="506" w:name="Tc_RuM-lHklY0KI4kLregtE5g_9_0"/>
      <w:bookmarkStart w:id="507" w:name="Tc_495ms_B4ZUOcx4lFMrfyRw_8_6"/>
      <w:bookmarkStart w:id="508" w:name="Tc_cGLsn2Glz0C6bYng8Q4LSw_8_0"/>
      <w:bookmarkStart w:id="509" w:name="Tc_wiWh-f-R1kCr2ubXX_l6CQ_7_0"/>
      <w:bookmarkStart w:id="510" w:name="Tc_atbr8hS9TkGpgN3SraGl1w_6_0"/>
      <w:bookmarkStart w:id="511" w:name="Tc_MhrbHqFiE0ustok1tUN91w_5_5"/>
      <w:bookmarkStart w:id="512" w:name="Tc_cFpy3vRrg0-07dp17567ZQ_5_2"/>
      <w:bookmarkStart w:id="513" w:name="Tc_z5nh_qPeHEKCkRf8G3wEgQ_5_0"/>
      <w:bookmarkStart w:id="514" w:name="Tc_mbhx72JrbkekpLzvRNw8lw_4_0"/>
      <w:bookmarkStart w:id="515" w:name="Tc_10fxjpYdM0GZGk-At1LaNA_3_5"/>
      <w:bookmarkStart w:id="516" w:name="Tc_kpvVr-EHDEiIXg7q25ElbQ_3_2"/>
      <w:bookmarkStart w:id="517" w:name="Tc_PKfoMjUyjk63ueTp4wDlnA_2_2"/>
      <w:bookmarkStart w:id="518" w:name="Tc_m3zisnEbj0-cC0fW_YKWYw_1_2"/>
      <w:bookmarkStart w:id="519" w:name="_80a76465_a125_4aaf_8b50_a2b4f658df49"/>
      <w:bookmarkStart w:id="520" w:name="Tc_cVCO_k_bTUK3RQzTjbCfrg_45_0"/>
      <w:bookmarkStart w:id="521" w:name="Tc_DSJIEbX-UkehoAl4Rr-2Gw_44_0"/>
      <w:bookmarkStart w:id="522" w:name="Tc_ID522YNkXE-l09afW8vDeQ_43_0"/>
      <w:bookmarkStart w:id="523" w:name="Tc_mdtg7lN9-U6GjD8TAqHZog_42_5"/>
      <w:bookmarkStart w:id="524" w:name="Tc_63_PlkPIbE652YBHW7hNaQ_42_2"/>
      <w:bookmarkStart w:id="525" w:name="Tc_Se_OmB1ET0-Sqz9rdsezYw_42_0"/>
      <w:bookmarkStart w:id="526" w:name="Tc_Yw-5LYb2hEuq9c6n93-FzA_41_0"/>
      <w:bookmarkStart w:id="527" w:name="Tc_AF8AIjYWSUqaJc1cRff1jg_40_0"/>
      <w:bookmarkStart w:id="528" w:name="Tc_T74PFXHsVkOHZIm0LzKW6A_39_5"/>
      <w:bookmarkStart w:id="529" w:name="Tc_l_vVczhmiE6gUuxvbxOiYA_39_2"/>
      <w:bookmarkStart w:id="530" w:name="Tc_XMyWxICPFUmyEiINn3yvCQ_39_0"/>
      <w:bookmarkStart w:id="531" w:name="Tc_hiH8tKCv90iujB-7od5qiQ_38_0"/>
      <w:bookmarkStart w:id="532" w:name="Tc_TryNbobYcU6t4G4-oa8Mkw_37_0"/>
      <w:bookmarkStart w:id="533" w:name="Tc_xff3AXOj80CpvJEZvH9drw_36_0"/>
      <w:bookmarkStart w:id="534" w:name="Tc_4YdYXXcBIUWCV-vHbvVu_w_35_3"/>
      <w:bookmarkStart w:id="535" w:name="Tc_oaV6o4qiqka0Ohv5WRwFlw_35_0"/>
      <w:bookmarkStart w:id="536" w:name="Tc_GCpTICL210K3HxqZZU9zmQ_34_0"/>
      <w:bookmarkStart w:id="537" w:name="Tc_uASn1CXQhEuIwOPpuoJKUw_33_0"/>
      <w:bookmarkStart w:id="538" w:name="Tc_5ocvY_7_b0GtrVMnH7sNBQ_32_0"/>
      <w:bookmarkStart w:id="539" w:name="Tc_xhigD2BEEEygntTP5PEYVA_31_0"/>
      <w:bookmarkStart w:id="540" w:name="Tc_vz8RuBS7e0-7zAI-NeK4sw_30_3"/>
      <w:bookmarkStart w:id="541" w:name="Tc_cNHVQ_P3Rkirf4Ar2OaOjQ_30_0"/>
      <w:bookmarkStart w:id="542" w:name="Tc_yO3MWEAeq0SnS_Ns0IFqXg_29_5"/>
      <w:bookmarkStart w:id="543" w:name="Tc_j_2LmVSFokmDokt_F3voNQ_29_3"/>
      <w:bookmarkStart w:id="544" w:name="Tc_lAfZ66SymEu5hqlz5MeUSQ_29_2"/>
      <w:bookmarkStart w:id="545" w:name="Tc_-dUt5Km1k0GHKx9Uvhnb7w_29_0"/>
      <w:bookmarkStart w:id="546" w:name="Tc_HIxIgvgtLkO14nmPZ0FRnQ_28_0"/>
      <w:bookmarkStart w:id="547" w:name="Tc__DcoCm28e0Op8i8YGmaRyA_27_0"/>
      <w:bookmarkStart w:id="548" w:name="Tc_LxrzcnLYQE236nBzDVk-UQ_26_6"/>
      <w:bookmarkStart w:id="549" w:name="Tc_-sWQQUS2VkqWn4T-i0vPoQ_26_0"/>
      <w:bookmarkStart w:id="550" w:name="Tc_H7ZJRZUVnUSz95j6uiKLeg_25_0"/>
      <w:bookmarkStart w:id="551" w:name="Tc_Y6994jFOa0mnAesE950izA_24_0"/>
      <w:bookmarkStart w:id="552" w:name="Tc_mjOOUApiiUWX2m0e8l1Zfw_23_5"/>
      <w:bookmarkStart w:id="553" w:name="Tc_S8XmnIfrvE6myTVanee4Ag_23_2"/>
      <w:bookmarkStart w:id="554" w:name="Tc_NH9rAmFq-U2bzxzkYHua4w_23_0"/>
      <w:bookmarkStart w:id="555" w:name="Tc_EVQ8bioH80iyYAaC_Q7kLA_22_0"/>
      <w:bookmarkStart w:id="556" w:name="Tc_l1Q8iaisZUeHeZi20ufBxw_21_0"/>
      <w:bookmarkStart w:id="557" w:name="Tc_WvzQMbrcOk29DSuWrmGIrg_20_0"/>
      <w:bookmarkStart w:id="558" w:name="Tc_JDEKL-DiKkCFBxiRmcjxKA_19_0"/>
      <w:bookmarkStart w:id="559" w:name="Tc_AKu51REqfEedZlF_xKHpTQ_18_0"/>
      <w:bookmarkStart w:id="560" w:name="Tc_OjJB95KPPU6RIlTWaF-fGA_17_0"/>
      <w:bookmarkStart w:id="561" w:name="Tc_s0T31iHoyk-1FymvAaLbaw_16_0"/>
      <w:bookmarkStart w:id="562" w:name="Tc_cab76E1YMUGUE2FIBE0YXA_15_0"/>
      <w:bookmarkStart w:id="563" w:name="Tc_vodZliuACE6Obnwi5GEIzA_14_0"/>
      <w:bookmarkStart w:id="564" w:name="Tc_mFZwRPQ4JEi27iCZGGN-uQ_13_0"/>
      <w:bookmarkStart w:id="565" w:name="Tc_0mfTZNAh9Um3O7qcV0Ysjw_12_6"/>
      <w:bookmarkStart w:id="566" w:name="Tc_PTJKOTGiPkaqDG-ZV6R2rg_12_0"/>
      <w:bookmarkStart w:id="567" w:name="Tc_CKSrp4yTtU6AC90jfHWn2w_11_0"/>
      <w:bookmarkStart w:id="568" w:name="Tc_FEja6F81_E-Ix85Bs4oP1A_10_0"/>
      <w:bookmarkStart w:id="569" w:name="Tc_RuM-lHklY0KI4kLregtE5g_9_0"/>
      <w:bookmarkStart w:id="570" w:name="Tc_495ms_B4ZUOcx4lFMrfyRw_8_6"/>
      <w:bookmarkStart w:id="571" w:name="Tc_cGLsn2Glz0C6bYng8Q4LSw_8_0"/>
      <w:bookmarkStart w:id="572" w:name="Tc_wiWh-f-R1kCr2ubXX_l6CQ_7_0"/>
      <w:bookmarkStart w:id="573" w:name="Tc_atbr8hS9TkGpgN3SraGl1w_6_0"/>
      <w:bookmarkStart w:id="574" w:name="Tc_MhrbHqFiE0ustok1tUN91w_5_5"/>
      <w:bookmarkStart w:id="575" w:name="Tc_cFpy3vRrg0-07dp17567ZQ_5_2"/>
      <w:bookmarkStart w:id="576" w:name="Tc_z5nh_qPeHEKCkRf8G3wEgQ_5_0"/>
      <w:bookmarkStart w:id="577" w:name="Tc_mbhx72JrbkekpLzvRNw8lw_4_0"/>
      <w:bookmarkStart w:id="578" w:name="Tc_10fxjpYdM0GZGk-At1LaNA_3_5"/>
      <w:bookmarkStart w:id="579" w:name="Tc_kpvVr-EHDEiIXg7q25ElbQ_3_2"/>
      <w:bookmarkStart w:id="580" w:name="Tc_PKfoMjUyjk63ueTp4wDlnA_2_2"/>
      <w:bookmarkStart w:id="581" w:name="Tc_m3zisnEbj0-cC0fW_YKWYw_1_2"/>
      <w:bookmarkStart w:id="582" w:name="_80a76465_a125_4aaf_8b50_a2b4f658df4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tbl>
      <w:tblPr>
        <w:tblW w:w="8212" w:type="dxa"/>
        <w:jc w:val="left"/>
        <w:tblInd w:w="0" w:type="dxa"/>
        <w:tblLayout w:type="fixed"/>
        <w:tblCellMar>
          <w:top w:w="0" w:type="dxa"/>
          <w:left w:w="0" w:type="dxa"/>
          <w:bottom w:w="0" w:type="dxa"/>
          <w:right w:w="0" w:type="dxa"/>
        </w:tblCellMar>
      </w:tblPr>
      <w:tblGrid>
        <w:gridCol w:w="5731"/>
        <w:gridCol w:w="346"/>
        <w:gridCol w:w="196"/>
        <w:gridCol w:w="631"/>
        <w:gridCol w:w="346"/>
        <w:gridCol w:w="196"/>
        <w:gridCol w:w="766"/>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39185" cy="175260"/>
                      <wp:effectExtent l="0" t="0" r="0" b="0"/>
                      <wp:wrapNone/>
                      <wp:docPr id="53" name="Frame53"/>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00685" cy="175260"/>
                      <wp:effectExtent l="0" t="0" r="0" b="0"/>
                      <wp:wrapNone/>
                      <wp:docPr id="56" name="Frame5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86410" cy="175260"/>
                      <wp:effectExtent l="0" t="0" r="0" b="0"/>
                      <wp:wrapNone/>
                      <wp:docPr id="59" name="Frame5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cash surrender value of life insurance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benefits and 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Life insurance premiums paid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purchases of dental practices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to related parties evidenced by promissory notes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borrowings on line of credit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repayments on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Dental practice purchase payments on deferred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checks issued in excess of cash balances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capital lease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share repurchase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(3,212)</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2,892</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Schedule of interest and income taxes paid (received):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in 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631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83" w:name="_93af31fd_3af5_403b_b1c9_a2731b68e2f0"/>
      <w:bookmarkEnd w:id="583"/>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bookmarkStart w:id="584" w:name="NOTESTOCONDENSEDCONSOLIDATEDFINANCIALSTA"/>
      <w:bookmarkEnd w:id="584"/>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amounts)</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1.NATURE OF BUSINESS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Nature of Business — </w:t>
      </w:r>
      <w:r>
        <w:rPr>
          <w:rFonts w:ascii="Times New Roman;Times;serif" w:hAnsi="Times New Roman;Times;serif"/>
          <w:sz w:val="20"/>
        </w:rPr>
        <w:t>We are a dental resource organization that provides administrative and other business support services to affiliated general and multi-specialty dental practices. We currently have exclusive long-term agreements with the following affiliated dental practices — PDG, P.A., Dental Specialists of Minnesota, PLLC and Orthodontic Specialists of Minnesota, PLLC, (together “affiliated dental practices”). We currently support 219 dentists across 87 practice locations. As a result of our exclusive, long-term agreements with our affiliated dental practices, our condensed consolidated financial results include the consolidated results of the affiliated dental practices, in which we do not hold an equity interest. References to “we”, “us”, and “our” refer to Park Dental Partners, Inc. (“PDPI”) and our affiliated general and multi-specialty dental practices PDG, P.A. (“PDG”), Dental Specialists of Minnesota, PLLC (“TDS”), and Orthodontic Specialists of Minnesota, PLLC (“The Dental Specialists Orthodontics”). PDG, TDS, and The Dental Specialists Orthodontics provide general and specialty dental care services to patients in Minnesota, Wisconsin, and Arizona.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Basis of presentation —</w:t>
      </w:r>
      <w:r>
        <w:rPr>
          <w:rFonts w:ascii="Times New Roman;Times;serif" w:hAnsi="Times New Roman;Times;serif"/>
          <w:sz w:val="20"/>
        </w:rPr>
        <w:t xml:space="preserve"> The accompanying condensed consolidated financial statements, including the balance sheet as of June 30, 2026, statements of operations and statements of stockholders’ equity, for the three and six months ended June 30, 2026 and 2025, and statements of cash flows for the six months ended June 30, 2026 and 2025, are unaudited. The condensed consolidated financial statements and accompanying notes are presented as permitted by Form 10-Q and do not contain certain information included in the Company’s annual consolidated financial statements and notes. The information included in this Quarterly Report should be read in conjunction with Part I, Item 2 “Management’s Discussion and Analysis of Financial Condition and Results of Operations” and consolidated financial statements and notes thereto for the fiscal year ended December 31, 2025 included in the Company’s Annual Report. In the opinion of management, these condensed financial statements reflect all adjustments, which include normal recurring adjustments, necessary for the fair statement of the Company’s financial position as of June 30, 2026 and the results of operations and cash flows for the six months ended June 30, 2026 and 2025. The financial data and other information disclosed in these notes related to the three and six months ended June 30, 2026 and 2025 are also unaudited. The results for the three and six months ended June 30, 2026 and 2025 are not necessarily indicative of results to be expected for the year ending December 31, 2026, any other interim periods, or any future year or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Segment Reporting</w:t>
      </w:r>
      <w:r>
        <w:rPr>
          <w:rFonts w:ascii="Times New Roman;Times;serif" w:hAnsi="Times New Roman;Times;serif"/>
          <w:sz w:val="20"/>
        </w:rPr>
        <w:t> — We manage our operations on a company-wide basis, rather than at a product or business unit level, thereby making determinations as to the allocation of resources as one operating and reportable segment. Our single segment derives revenues by providing general and specialty dental care services to patients. All financial information provided in the consolidated financial statements pertains to this single operating segment. All Company assets are located in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chief executive officer and chairman is the chief operating decision maker (“CODM”). The CODM uses financial information at the consolidated level, including net income, gross margin, and Adjusted Earnings Before Interest, Tax, Depreciation and Amortization (“Adjusted EBITDA”), to assess performance and make key operating decisions, including approving annual operating plans, expanding into new markets, or pursuing business acquisitions. Net income and Adjusted EBITDA are used to monitor our actual results against our budget, as well as trends compared to historical performance, which are the CODM’s primary considerations to assess performance. There are no segment managers held accountable by the CODM for operating results at levels or components below the consolidated unit level. The measure of segment assets is reported on the balance sheet as total consolidated assets and our CODM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85" w:name="Tc_9_PtvLpvA0WIf4SwOe8wAQ_7_5"/>
      <w:bookmarkStart w:id="586" w:name="Tc_K5GPwDBfHEemZeuxjlTO4g_7_2"/>
      <w:bookmarkStart w:id="587" w:name="Tc_EGI_VR12IUK2V7sr-1tX9w_7_0"/>
      <w:bookmarkStart w:id="588" w:name="Tc_WM3MXhtgy0iDSWwVLQl5LQ_6_0"/>
      <w:bookmarkStart w:id="589" w:name="Tc_DGDZBHhxcEiroLF01mX6UQ_5_3"/>
      <w:bookmarkStart w:id="590" w:name="Tc_MpD-fBTrnUSwtN74Dvz_pA_5_0"/>
      <w:bookmarkStart w:id="591" w:name="Tc_QZSphn5Aq0KuVl1yQdd3fw_4_0"/>
      <w:bookmarkStart w:id="592" w:name="Tc_pq3bcHR3F0yHgW2yF1EJyA_3_5"/>
      <w:bookmarkStart w:id="593" w:name="Tc_k7GqpzO_ZESA96XsvliGsQ_3_2"/>
      <w:bookmarkStart w:id="594" w:name="Tc_nMUif7jGnkWjyFwn28YWPg_3_0"/>
      <w:bookmarkStart w:id="595" w:name="Tc_wWwCW3JnQkiVXDSsC2diIw_2_2"/>
      <w:bookmarkStart w:id="596" w:name="Tc_uR630lTl6Emc_QjTJ6AUOw_1_5"/>
      <w:bookmarkStart w:id="597" w:name="Tc_PPDYUlSB-Uue4BXYPV7S6A_1_2"/>
      <w:bookmarkStart w:id="598" w:name="Tc_ifjzQarZYkCL6AdTWhOpxA_12_11"/>
      <w:bookmarkStart w:id="599" w:name="Tc_Neeip_b4Yku_G-pI3XznFg_12_8"/>
      <w:bookmarkStart w:id="600" w:name="Tc_wHdHVzrS8UaXiI8KyaoTXg_12_5"/>
      <w:bookmarkStart w:id="601" w:name="Tc_GmAYEN4k6EGegbBPe6cCCA_12_2"/>
      <w:bookmarkStart w:id="602" w:name="Tc_2Gw0qdRgCkSbb6gIBmS8Cw_12_0"/>
      <w:bookmarkStart w:id="603" w:name="Tc_p_JjUZuXFEGBCqjUdo4-jQ_11_0"/>
      <w:bookmarkStart w:id="604" w:name="Tc_DurwLqDcuE2uhdfdGb9SrQ_10_11"/>
      <w:bookmarkStart w:id="605" w:name="Tc_GJ9MtMh8bkqxCzMHpy8Nrg_10_8"/>
      <w:bookmarkStart w:id="606" w:name="Tc_fvoS9lMoAkq1M_PHy_4CRw_10_5"/>
      <w:bookmarkStart w:id="607" w:name="Tc_3lzZXPYOOU2w8qUVRIqqdQ_10_2"/>
      <w:bookmarkStart w:id="608" w:name="Tc_q9mKMd1XiUGJ9GMLA_cFbw_10_0"/>
      <w:bookmarkStart w:id="609" w:name="Tc_FUANn83ws0e3OIp6VM44UQ_9_0"/>
      <w:bookmarkStart w:id="610" w:name="Tc_414KZdGcoUSikM3Szd2ezw_8_11"/>
      <w:bookmarkStart w:id="611" w:name="Tc_79LIbTEIkEiI1sm_I54Hnw_8_8"/>
      <w:bookmarkStart w:id="612" w:name="Tc_pAy0bDJwk0mi2sQABSG5cg_8_5"/>
      <w:bookmarkStart w:id="613" w:name="Tc_VEE_-sdDAk27VbaSogJsDQ_8_2"/>
      <w:bookmarkStart w:id="614" w:name="Tc_sDCiw_G3Kk6XNspXgl3dNw_8_0"/>
      <w:bookmarkStart w:id="615" w:name="Tc_wvbK6LXZJ0a2ihAyo-wHvw_7_0"/>
      <w:bookmarkStart w:id="616" w:name="Tc_jlJk5krktUOZcGzpYdJLwQ_6_11"/>
      <w:bookmarkStart w:id="617" w:name="Tc_rPr9fYQDwEeGvszP-hpuAA_6_8"/>
      <w:bookmarkStart w:id="618" w:name="Tc_RJt9AGh7jUGad2NF4DjVvg_6_5"/>
      <w:bookmarkStart w:id="619" w:name="Tc_0wNmOV3vtEmfLXu9ah_I9A_6_2"/>
      <w:bookmarkStart w:id="620" w:name="Tc_Dcp6JCE_2kmiZ3zka5pLkw_6_0"/>
      <w:bookmarkStart w:id="621" w:name="Tc_JvTEWlRLLEeQr0hi1CD8Fw_5_0"/>
      <w:bookmarkStart w:id="622" w:name="Tc_4oAEJhGSoU2OK7OjDYhO2g_4_8"/>
      <w:bookmarkStart w:id="623" w:name="Tc_Xwq0gSg9RkiUXdraco47Qg_4_2"/>
      <w:bookmarkStart w:id="624" w:name="Tc_c_bNr_oEiEGsk7hflzVmrA_3_11"/>
      <w:bookmarkStart w:id="625" w:name="Tc_y17iYe7aCUqAtLfE9XfenA_3_8"/>
      <w:bookmarkStart w:id="626" w:name="Tc_XjjIUT1Lc0eoKfElOMU6KQ_3_5"/>
      <w:bookmarkStart w:id="627" w:name="Tc_KBXDsxyXnEeAj7rVxK78Aw_3_2"/>
      <w:bookmarkStart w:id="628" w:name="Tc_3ZAlONZcDEq2MbU--bR7ZA_2_8"/>
      <w:bookmarkStart w:id="629" w:name="Tc_OxtpHlm4XEyKyEinDTg6Ww_2_2"/>
      <w:bookmarkStart w:id="630" w:name="Tc_hccgWUWjnUa8v91wc7jB5A_1_8"/>
      <w:bookmarkStart w:id="631" w:name="Tc_5F26h2aPMEKjdZdLut_DHA_1_2"/>
      <w:bookmarkStart w:id="632" w:name="_98f8a496_79df_428b_884d_aaff786591bf"/>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ascii="Times New Roman;Times;serif" w:hAnsi="Times New Roman;Times;serif"/>
          <w:sz w:val="20"/>
        </w:rPr>
        <w:t xml:space="preserve">allocates assets at that level. The CODM has overall responsibility and accountability for the profitability and cash flows of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Specified Expense Items</w:t>
      </w:r>
      <w:r>
        <w:rPr>
          <w:rFonts w:ascii="Times New Roman;Times;serif" w:hAnsi="Times New Roman;Times;serif"/>
          <w:sz w:val="20"/>
        </w:rPr>
        <w:t xml:space="preserve"> — Significant expense information provided to the CODM is consistent with our condensed consolidated statements of operations, as supplemented by the specified expense items provided to the CODM and disclosed in the table below:</w:t>
      </w:r>
    </w:p>
    <w:p>
      <w:pPr>
        <w:pStyle w:val="TextBody"/>
        <w:bidi w:val="0"/>
        <w:spacing w:before="0" w:after="0"/>
        <w:ind w:left="0" w:right="0" w:hanging="0"/>
        <w:jc w:val="left"/>
        <w:rPr/>
      </w:pPr>
      <w:r>
        <w:rPr/>
        <w:t>​</w:t>
      </w:r>
    </w:p>
    <w:tbl>
      <w:tblPr>
        <w:tblW w:w="7958" w:type="dxa"/>
        <w:jc w:val="left"/>
        <w:tblInd w:w="0" w:type="dxa"/>
        <w:tblLayout w:type="fixed"/>
        <w:tblCellMar>
          <w:top w:w="0" w:type="dxa"/>
          <w:left w:w="0" w:type="dxa"/>
          <w:bottom w:w="0" w:type="dxa"/>
          <w:right w:w="0" w:type="dxa"/>
        </w:tblCellMar>
      </w:tblPr>
      <w:tblGrid>
        <w:gridCol w:w="3586"/>
        <w:gridCol w:w="109"/>
        <w:gridCol w:w="240"/>
        <w:gridCol w:w="770"/>
        <w:gridCol w:w="124"/>
        <w:gridCol w:w="240"/>
        <w:gridCol w:w="770"/>
        <w:gridCol w:w="109"/>
        <w:gridCol w:w="220"/>
        <w:gridCol w:w="705"/>
        <w:gridCol w:w="113"/>
        <w:gridCol w:w="220"/>
        <w:gridCol w:w="752"/>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77110" cy="175260"/>
                      <wp:effectExtent l="0" t="0" r="0" b="0"/>
                      <wp:wrapNone/>
                      <wp:docPr id="60" name="Frame6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2400" cy="175260"/>
                      <wp:effectExtent l="0" t="0" r="0" b="0"/>
                      <wp:wrapNone/>
                      <wp:docPr id="62" name="Frame6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88950" cy="175260"/>
                      <wp:effectExtent l="0" t="0" r="0" b="0"/>
                      <wp:wrapNone/>
                      <wp:docPr id="63" name="Frame6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8740" cy="175260"/>
                      <wp:effectExtent l="0" t="0" r="0" b="0"/>
                      <wp:wrapNone/>
                      <wp:docPr id="64" name="Frame6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2400" cy="175260"/>
                      <wp:effectExtent l="0" t="0" r="0" b="0"/>
                      <wp:wrapNone/>
                      <wp:docPr id="65" name="Frame6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8950" cy="175260"/>
                      <wp:effectExtent l="0" t="0" r="0" b="0"/>
                      <wp:wrapNone/>
                      <wp:docPr id="66" name="Frame6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9700" cy="175260"/>
                      <wp:effectExtent l="0" t="0" r="0" b="0"/>
                      <wp:wrapNone/>
                      <wp:docPr id="68" name="Frame6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47675" cy="175260"/>
                      <wp:effectExtent l="0" t="0" r="0" b="0"/>
                      <wp:wrapNone/>
                      <wp:docPr id="69" name="Frame69"/>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1755" cy="175260"/>
                      <wp:effectExtent l="0" t="0" r="0" b="0"/>
                      <wp:wrapNone/>
                      <wp:docPr id="70" name="Frame70"/>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9700" cy="175260"/>
                      <wp:effectExtent l="0" t="0" r="0" b="0"/>
                      <wp:wrapNone/>
                      <wp:docPr id="71" name="Frame7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7520" cy="175260"/>
                      <wp:effectExtent l="0" t="0" r="0" b="0"/>
                      <wp:wrapNone/>
                      <wp:docPr id="72" name="Frame7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1"/>
              <w:ind w:left="0" w:right="0" w:hanging="0"/>
              <w:jc w:val="left"/>
              <w:rPr/>
            </w:pPr>
            <w:r>
              <w:rPr/>
              <w:t>​</w:t>
            </w:r>
          </w:p>
        </w:tc>
        <w:tc>
          <w:tcPr>
            <w:tcW w:w="20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0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4" w:type="dxa"/>
            <w:tcBorders/>
            <w:vAlign w:val="center"/>
          </w:tcPr>
          <w:p>
            <w:pPr>
              <w:pStyle w:val="TableContents"/>
              <w:bidi w:val="0"/>
              <w:spacing w:before="0" w:after="1"/>
              <w:ind w:left="0" w:right="0" w:hanging="0"/>
              <w:jc w:val="center"/>
              <w:rPr/>
            </w:pPr>
            <w:r>
              <w:rPr/>
              <w:t>​</w:t>
            </w:r>
          </w:p>
        </w:tc>
        <w:tc>
          <w:tcPr>
            <w:tcW w:w="10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3" w:type="dxa"/>
            <w:tcBorders/>
            <w:vAlign w:val="center"/>
          </w:tcPr>
          <w:p>
            <w:pPr>
              <w:pStyle w:val="TableContents"/>
              <w:bidi w:val="0"/>
              <w:spacing w:before="0" w:after="1"/>
              <w:ind w:left="0" w:right="0" w:hanging="0"/>
              <w:jc w:val="center"/>
              <w:rPr/>
            </w:pPr>
            <w:r>
              <w:rPr/>
              <w:t>​</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0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Salaries and Benefits </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left"/>
              <w:rPr/>
            </w:pPr>
            <w:r>
              <w:rPr/>
              <w:t>​</w:t>
            </w:r>
          </w:p>
        </w:tc>
        <w:tc>
          <w:tcPr>
            <w:tcW w:w="124"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left"/>
              <w:rPr/>
            </w:pPr>
            <w:r>
              <w:rPr/>
              <w:t>​</w:t>
            </w:r>
          </w:p>
        </w:tc>
        <w:tc>
          <w:tcPr>
            <w:tcW w:w="113"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Doctor compensation and benefits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20,765</w:t>
            </w:r>
          </w:p>
        </w:tc>
        <w:tc>
          <w:tcPr>
            <w:tcW w:w="124"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16,744</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41,527</w:t>
            </w:r>
          </w:p>
        </w:tc>
        <w:tc>
          <w:tcPr>
            <w:tcW w:w="113"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32,666</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team member salaries and benefits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21,349</w:t>
            </w:r>
          </w:p>
        </w:tc>
        <w:tc>
          <w:tcPr>
            <w:tcW w:w="124"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20,352</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42,482</w:t>
            </w:r>
          </w:p>
        </w:tc>
        <w:tc>
          <w:tcPr>
            <w:tcW w:w="113"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40,067</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Salaries and Benefits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42,114</w:t>
            </w:r>
          </w:p>
        </w:tc>
        <w:tc>
          <w:tcPr>
            <w:tcW w:w="124"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37,096</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84,009</w:t>
            </w:r>
          </w:p>
        </w:tc>
        <w:tc>
          <w:tcPr>
            <w:tcW w:w="113"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72,733</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  ​</w:t>
            </w:r>
          </w:p>
        </w:tc>
        <w:tc>
          <w:tcPr>
            <w:tcW w:w="124"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05" w:type="dxa"/>
            <w:tcBorders/>
            <w:shd w:fill="CCEEFF" w:val="clear"/>
            <w:vAlign w:val="center"/>
          </w:tcPr>
          <w:p>
            <w:pPr>
              <w:pStyle w:val="TableContents"/>
              <w:bidi w:val="0"/>
              <w:spacing w:before="0" w:after="1"/>
              <w:ind w:left="0" w:right="0" w:hanging="0"/>
              <w:jc w:val="right"/>
              <w:rPr/>
            </w:pPr>
            <w:r>
              <w:rPr/>
              <w:t>  ​</w:t>
            </w:r>
          </w:p>
        </w:tc>
        <w:tc>
          <w:tcPr>
            <w:tcW w:w="113"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pPr>
            <w:r>
              <w:rPr/>
              <w:t>  ​</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MinnesotaCare tax</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124"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w:t>
            </w:r>
          </w:p>
        </w:tc>
        <w:tc>
          <w:tcPr>
            <w:tcW w:w="113"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w:t>
            </w:r>
          </w:p>
        </w:tc>
      </w:tr>
      <w:tr>
        <w:trPr/>
        <w:tc>
          <w:tcPr>
            <w:tcW w:w="35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expenses of practices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c>
          <w:tcPr>
            <w:tcW w:w="124"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5,369</w:t>
            </w:r>
          </w:p>
        </w:tc>
        <w:tc>
          <w:tcPr>
            <w:tcW w:w="113"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 Other Operating expense</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3,836</w:t>
            </w:r>
          </w:p>
        </w:tc>
        <w:tc>
          <w:tcPr>
            <w:tcW w:w="124"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7,670</w:t>
            </w:r>
          </w:p>
        </w:tc>
        <w:tc>
          <w:tcPr>
            <w:tcW w:w="113"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7,015</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of practices include software and subscription costs, repairs and maintenance costs, recruiting, travel and entertainment, insurance, and other operating costs.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Other Current Liabilities and Other Long-Term Liabilities — </w:t>
      </w:r>
      <w:r>
        <w:rPr>
          <w:rFonts w:ascii="Times New Roman;Times;serif" w:hAnsi="Times New Roman;Times;serif"/>
          <w:sz w:val="20"/>
        </w:rPr>
        <w:t xml:space="preserve">Other current liabilities and other long-term liabilities include insurance and patient refunds, finance lease obligations, deferred rent, and practice acquisition notes. Practice acquisition notes are generally payable between 12 – 48 months after the date of the acquisition. The total liability of outstanding practice acquisition notes as of June 30, 2026 and December 31, 2025, included within the condensed consolidated balance sheets was $1,366 and $956, respectively, of which, the current portion was $743 and $505, respectively, and is included within Deferred revenue and other current liabilities.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the activity for the Company’s estimated liability for outstanding practice acquisition notes for the six months ended June 30, 2026 and 2025, were as follows:</w:t>
      </w:r>
    </w:p>
    <w:p>
      <w:pPr>
        <w:pStyle w:val="TextBody"/>
        <w:bidi w:val="0"/>
        <w:spacing w:before="0" w:after="0"/>
        <w:ind w:left="0" w:right="0" w:hanging="0"/>
        <w:jc w:val="left"/>
        <w:rPr/>
      </w:pPr>
      <w:r>
        <w:rPr/>
        <w:t>​</w:t>
      </w:r>
    </w:p>
    <w:tbl>
      <w:tblPr>
        <w:tblW w:w="5128" w:type="dxa"/>
        <w:jc w:val="left"/>
        <w:tblInd w:w="0" w:type="dxa"/>
        <w:tblLayout w:type="fixed"/>
        <w:tblCellMar>
          <w:top w:w="0" w:type="dxa"/>
          <w:left w:w="0" w:type="dxa"/>
          <w:bottom w:w="0" w:type="dxa"/>
          <w:right w:w="0" w:type="dxa"/>
        </w:tblCellMar>
      </w:tblPr>
      <w:tblGrid>
        <w:gridCol w:w="3181"/>
        <w:gridCol w:w="109"/>
        <w:gridCol w:w="211"/>
        <w:gridCol w:w="571"/>
        <w:gridCol w:w="109"/>
        <w:gridCol w:w="211"/>
        <w:gridCol w:w="73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19935" cy="175260"/>
                      <wp:effectExtent l="0" t="0" r="0" b="0"/>
                      <wp:wrapNone/>
                      <wp:docPr id="73" name="Frame7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67360" cy="175260"/>
                      <wp:effectExtent l="0" t="0" r="0" b="0"/>
                      <wp:wrapNone/>
                      <wp:docPr id="79" name="Frame7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8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Practice acquisition notes –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related to acquisitions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Reinstatement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advanced to seller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Practice acquisition notes – June 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1,086</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 xml:space="preserve"> — Our affiliated dental practices generate their revenue from services provided to patients. Generally, dental practices bill patients and third-party payors after the services are performed. Revenue is recognized as performance obligations are satisfied. Patient care service revenue is reported at amounts that reflect the consideration affiliated dental practices estimate to be entitled in exchange for providing patient care. These consideration amounts are due from patients and third-party payors (including dental insurers and government sponsored programs), and others and include variable consideration. Our affiliated dental groups determine the transaction price, which involves significant estimates and judgment, based on standard charges for goods and services provided, reduced by contractual allowance provided to third-party payors, discounts provided to uninsured patients in accordance with our policy and implicit price concessions based on its historical collection experience for each patient portfolio based on payor classes and service types. We regularly review data about these major payor sources of revenue in evaluating the sufficiency of the contractual allowance and implicit price concessions. Performance obligations are determined based on the nature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33" w:name="Tc_mdXX8GdB_Ei8_M2vtHLtaw_7_11"/>
      <w:bookmarkStart w:id="634" w:name="Tc_y61a5wFomkubtLSmbXv0qQ_7_8"/>
      <w:bookmarkStart w:id="635" w:name="Tc_SNFmpCX7lUCke8oJi0S2hA_7_5"/>
      <w:bookmarkStart w:id="636" w:name="Tc_FtBvKmESXky00_JhtAM_0Q_7_2"/>
      <w:bookmarkStart w:id="637" w:name="Tc_v7GCeyeXlUaJ263uBKN_BA_7_0"/>
      <w:bookmarkStart w:id="638" w:name="Tc_dZUEKVuF3kaaA4X8skW8_g_6_0"/>
      <w:bookmarkStart w:id="639" w:name="Tc_NCnBgWMnjEu8u_A2r_YZfA_5_11"/>
      <w:bookmarkStart w:id="640" w:name="Tc_DWg9WVgpo0aMNqrB5c1Rxw_5_8"/>
      <w:bookmarkStart w:id="641" w:name="Tc_-S1AgDLdw0-bd2HoU2LY8Q_5_5"/>
      <w:bookmarkStart w:id="642" w:name="Tc_9IMLAR8ao06FD-jOlWNhSQ_5_2"/>
      <w:bookmarkStart w:id="643" w:name="Tc_FSz9-LJPkkSTqDY74I8Hgg_5_0"/>
      <w:bookmarkStart w:id="644" w:name="Tc_J4Zsk6Os102RcBgUGp5vDA_4_8"/>
      <w:bookmarkStart w:id="645" w:name="Tc_8trhms0hnEOzM8MlhxaeaA_4_2"/>
      <w:bookmarkStart w:id="646" w:name="Tc_tZhllau1J0S5mpozLdYflg_3_11"/>
      <w:bookmarkStart w:id="647" w:name="Tc_SJunXGYgy0GPBzd06zVAAg_3_8"/>
      <w:bookmarkStart w:id="648" w:name="Tc_8isagBmlJ0WSUldibxxFNw_3_5"/>
      <w:bookmarkStart w:id="649" w:name="Tc_PM7OnercME6RDkpaFwZn8w_3_2"/>
      <w:bookmarkStart w:id="650" w:name="Tc_3tqP-POQvkOmLo4BZSPyIQ_2_8"/>
      <w:bookmarkStart w:id="651" w:name="Tc__WuoCpdcTEuX7r6JxqEkjQ_2_2"/>
      <w:bookmarkStart w:id="652" w:name="Tc_DkU28qAQKEO18Ii6ohl9MA_1_8"/>
      <w:bookmarkStart w:id="653" w:name="Tc_jyurMJojrkmNFCtOTrkQHQ_1_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sz w:val="20"/>
        </w:rPr>
        <w:t>services provided. For general dental care services, the performance obligations are satisfied as the patient simultaneously receives and consumes the benefits provided as the services are performed. Revenue from performance obligations satisfied over time is recognized based on total expected or actual services allocated to each performance obligation. Generally, performance obligations satisfied over time relate to patients receiving orthodontic services. For these services we measure the performance obligation from initial execution of the contract to the point when there are no further services required for the patient. Typically, revenue is recognized within 12-months of the commencement of services. In addition, our affiliated dental practices offer a direct-to-consumer dental care subscription for patients without dental insurance, which provides reduced costs for patient care over a 12-month period. Materially all deferred revenue at the end of a fiscal year is recognized within the subsequent 12-month period. The subscription revenue is deferred and recognized over the period of care. We believe that these methods provide an accurate depiction of the transfer of services over the term of the performance obligation based on the inputs needed to satisfy the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 the administrative resource agreements, Park Dental Partners, Inc. bills the affiliated dental practices for business and administrative services. However, this revenue and related expenses are eliminated in the financial statement consolidation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affiliated dental practices have agreements with third-party payors that typically provide for payments at amounts less than standard established charges. A summary of the payment arrangements with major third-party payors consists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Medicaid: services are generally paid at prospectively determined rates per charge, per occasion of service, or per covered member.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insurance: payment agreements with certain insurance carriers provide for payment using prospectively determined rates per charge, discounts from established charges, and fee schedules.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patient service revenue, net of allowances, implicit price concessions and discounts, recognized from these major payor sources and patients were as follows:</w:t>
      </w:r>
    </w:p>
    <w:p>
      <w:pPr>
        <w:pStyle w:val="TextBody"/>
        <w:bidi w:val="0"/>
        <w:spacing w:before="0" w:after="0"/>
        <w:ind w:left="0" w:right="0" w:hanging="0"/>
        <w:jc w:val="left"/>
        <w:rPr/>
      </w:pPr>
      <w:r>
        <w:rPr/>
        <w:t>​</w:t>
      </w:r>
    </w:p>
    <w:tbl>
      <w:tblPr>
        <w:tblW w:w="6919" w:type="dxa"/>
        <w:jc w:val="left"/>
        <w:tblInd w:w="0" w:type="dxa"/>
        <w:tblLayout w:type="fixed"/>
        <w:tblCellMar>
          <w:top w:w="0" w:type="dxa"/>
          <w:left w:w="0" w:type="dxa"/>
          <w:bottom w:w="0" w:type="dxa"/>
          <w:right w:w="0" w:type="dxa"/>
        </w:tblCellMar>
      </w:tblPr>
      <w:tblGrid>
        <w:gridCol w:w="1636"/>
        <w:gridCol w:w="346"/>
        <w:gridCol w:w="213"/>
        <w:gridCol w:w="684"/>
        <w:gridCol w:w="350"/>
        <w:gridCol w:w="213"/>
        <w:gridCol w:w="684"/>
        <w:gridCol w:w="346"/>
        <w:gridCol w:w="211"/>
        <w:gridCol w:w="781"/>
        <w:gridCol w:w="346"/>
        <w:gridCol w:w="211"/>
        <w:gridCol w:w="89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038860" cy="175260"/>
                      <wp:effectExtent l="0" t="0" r="0" b="0"/>
                      <wp:wrapNone/>
                      <wp:docPr id="80" name="Frame8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5255" cy="175260"/>
                      <wp:effectExtent l="0" t="0" r="0" b="0"/>
                      <wp:wrapNone/>
                      <wp:docPr id="82" name="Frame8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4340" cy="175260"/>
                      <wp:effectExtent l="0" t="0" r="0" b="0"/>
                      <wp:wrapNone/>
                      <wp:docPr id="83" name="Frame8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2250" cy="175260"/>
                      <wp:effectExtent l="0" t="0" r="0" b="0"/>
                      <wp:wrapNone/>
                      <wp:docPr id="84" name="Frame8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5255" cy="175260"/>
                      <wp:effectExtent l="0" t="0" r="0" b="0"/>
                      <wp:wrapNone/>
                      <wp:docPr id="85" name="Frame8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4340" cy="175260"/>
                      <wp:effectExtent l="0" t="0" r="0" b="0"/>
                      <wp:wrapNone/>
                      <wp:docPr id="86" name="Frame8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70230" cy="175260"/>
                      <wp:effectExtent l="0" t="0" r="0" b="0"/>
                      <wp:wrapNone/>
                      <wp:docPr id="92" name="Frame9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  ​ ​ ​</w:t>
            </w:r>
          </w:p>
        </w:tc>
        <w:tc>
          <w:tcPr>
            <w:tcW w:w="24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1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4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payors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86,430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22,541</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all payors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122,035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Patient Receivables and Credit Policy</w:t>
      </w:r>
      <w:r>
        <w:rPr>
          <w:rFonts w:ascii="Times New Roman;Times;serif" w:hAnsi="Times New Roman;Times;serif"/>
          <w:sz w:val="20"/>
        </w:rPr>
        <w:t> — Patient accounts receivable are uncollateralized patient obligations that are stated at the amount we expect to collect from outstanding balances. These obligations are primarily from local patients most of whom are insured under third-party payor agreements. Park Dental Partners, Inc. provides billing and collection services on behalf of the affiliated dental practices. Park Dental Partners, Inc. bills third-party payors on the patients’ behalf, or if a patient is uninsured, the patient is billed directly. Once claims are settled with the third-party payors, patients are billed for the remaining balance. Payments on accounts receivable are applied to the specific claim identified on the remittance advice or statement. Park Dental Partners, Inc. and its affiliated dentists have a policy of assessing a finance charge of 8% on patient past due accounts 90 days or older.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Carrying amounts of accounts receivable are reduced by contractual allowances and implicit price concessions that reflect management’s best estimate of the amounts that will not be collected. We provide for contractual adjustments under terms of third-party reimbursement agreements through a reduction of gross revenue and a credit to a contractual valuation allowance. In addition, we provide for probable uncollectible amounts, primarily for uninsured patients and amounts patients are personally responsible for, through a reduction in gross revenue and a credit to a valuation allowance based on our assessment of historical collection experience, trends for each of its major payor sources of revenue, and the current status of individual accounts. Balances that are still outstanding after we have used reasonable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54" w:name="Tc_OPI1TP1x_0yVdYbazuWO0Q_6_5"/>
      <w:bookmarkStart w:id="655" w:name="Tc_nSlBNy2sDEqyUVvBsGx-pA_6_2"/>
      <w:bookmarkStart w:id="656" w:name="Tc_qmgecIzS0UKmmqc2b7XMdg_6_0"/>
      <w:bookmarkStart w:id="657" w:name="Tc_Dr2Y25FAAUSe0uOoh63xUw_5_0"/>
      <w:bookmarkStart w:id="658" w:name="Tc_tCo7Wfmm1Uq0217LjXMuqg_4_0"/>
      <w:bookmarkStart w:id="659" w:name="Tc_MRec4IBXWUKZM1qWpXrEDg_3_5"/>
      <w:bookmarkStart w:id="660" w:name="Tc_21a5UfCqhEmlxXNmQyfRbQ_3_2"/>
      <w:bookmarkStart w:id="661" w:name="Tc_Y7VJCnqcEECBTIF4BkfPDA_3_0"/>
      <w:bookmarkStart w:id="662" w:name="Tc_uEwakUMrXkSsZjc1NzV5Ug_2_2"/>
      <w:bookmarkStart w:id="663" w:name="Tc_eeBZ4hdDU0y1igwOKr7Wag_1_5"/>
      <w:bookmarkStart w:id="664" w:name="Tc_3afrPg_Nek2DmsBBZCK5fQ_1_2"/>
      <w:bookmarkEnd w:id="654"/>
      <w:bookmarkEnd w:id="655"/>
      <w:bookmarkEnd w:id="656"/>
      <w:bookmarkEnd w:id="657"/>
      <w:bookmarkEnd w:id="658"/>
      <w:bookmarkEnd w:id="659"/>
      <w:bookmarkEnd w:id="660"/>
      <w:bookmarkEnd w:id="661"/>
      <w:bookmarkEnd w:id="662"/>
      <w:bookmarkEnd w:id="663"/>
      <w:bookmarkEnd w:id="664"/>
      <w:r>
        <w:rPr>
          <w:rFonts w:ascii="Times New Roman;Times;serif" w:hAnsi="Times New Roman;Times;serif"/>
          <w:sz w:val="20"/>
        </w:rPr>
        <w:t>collection efforts are written off through a charge to the valuation allowance and credit to patient accounts receivable. Contractual allowances, concessions, and reserves for uncollectible accounts were $6,080 and $4,864 at June 30, 2026 and December 31,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Deferred Revenue</w:t>
      </w:r>
      <w:r>
        <w:rPr>
          <w:rFonts w:ascii="Times New Roman;Times;serif" w:hAnsi="Times New Roman;Times;serif"/>
          <w:sz w:val="20"/>
        </w:rPr>
        <w:t> — Deferred revenue is comprised of performance obligations satisfied over time which have not yet been completed, primarily related to orthodontic and dental subscription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the Company’s changes in deferred revenue for the six months ended June 30, 2026 and 2025, were as follows:</w:t>
      </w:r>
    </w:p>
    <w:p>
      <w:pPr>
        <w:pStyle w:val="TextBody"/>
        <w:bidi w:val="0"/>
        <w:spacing w:before="0" w:after="0"/>
        <w:ind w:left="0" w:right="0" w:hanging="0"/>
        <w:jc w:val="left"/>
        <w:rPr/>
      </w:pPr>
      <w:r>
        <w:rPr/>
        <w:t>​</w:t>
      </w:r>
    </w:p>
    <w:tbl>
      <w:tblPr>
        <w:tblW w:w="7180" w:type="dxa"/>
        <w:jc w:val="left"/>
        <w:tblInd w:w="0" w:type="dxa"/>
        <w:tblLayout w:type="fixed"/>
        <w:tblCellMar>
          <w:top w:w="0" w:type="dxa"/>
          <w:left w:w="0" w:type="dxa"/>
          <w:bottom w:w="0" w:type="dxa"/>
          <w:right w:w="0" w:type="dxa"/>
        </w:tblCellMar>
      </w:tblPr>
      <w:tblGrid>
        <w:gridCol w:w="4876"/>
        <w:gridCol w:w="109"/>
        <w:gridCol w:w="211"/>
        <w:gridCol w:w="691"/>
        <w:gridCol w:w="346"/>
        <w:gridCol w:w="211"/>
        <w:gridCol w:w="736"/>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096260" cy="175260"/>
                      <wp:effectExtent l="0" t="0" r="0" b="0"/>
                      <wp:wrapNone/>
                      <wp:docPr id="93" name="Frame93"/>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67360" cy="175260"/>
                      <wp:effectExtent l="0" t="0" r="0" b="0"/>
                      <wp:wrapNone/>
                      <wp:docPr id="99" name="Frame9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prior deferred revenue in the current period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 June 30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1,432</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Recently Adopted Accounting Pronouncements — </w:t>
      </w:r>
      <w:r>
        <w:rPr>
          <w:rFonts w:ascii="Times New Roman;Times;serif" w:hAnsi="Times New Roman;Times;serif"/>
          <w:sz w:val="20"/>
        </w:rPr>
        <w:t>The Company has not adopted any new accounting standards in the three and six months ended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Recently Issued Accounting Pronouncements — </w:t>
      </w: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Income Statement-Reporting Comprehensive Income- Expense Disaggregation Disclosures </w:t>
      </w:r>
      <w:r>
        <w:rPr>
          <w:rFonts w:ascii="Times New Roman;Times;serif" w:hAnsi="Times New Roman;Times;serif"/>
          <w:sz w:val="20"/>
        </w:rPr>
        <w:t xml:space="preserve">(Subtopic 220-40): </w:t>
      </w:r>
      <w:r>
        <w:rPr>
          <w:rFonts w:ascii="Times New Roman;Times;serif" w:hAnsi="Times New Roman;Times;serif"/>
          <w:i/>
          <w:sz w:val="20"/>
        </w:rPr>
        <w:t xml:space="preserve">Disaggregation of Income Statement Expenses </w:t>
      </w:r>
      <w:r>
        <w:rPr>
          <w:rFonts w:ascii="Times New Roman;Times;serif" w:hAnsi="Times New Roman;Times;serif"/>
          <w:sz w:val="20"/>
        </w:rPr>
        <w:t>(“ASU 2024-03”), which requires the disaggregation, in the notes to the financial statements, of certain cost and expense captions presented on the face of the Company’s Statement of Operations, to provide enhanced transparency to investors. The update may be applied either prospectively or retrospectively. ASU 2024-03 is effective for fiscal years beginning after December 15, 2026, and interim periods within fiscal years beginning after December 15, 2027. Early adoption is permitted. We are currently evaluating the impact ASU 2024-03 will have on our disclosures.</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2.ACQUISITIONS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our affiliated dental practices acquired two general dental practices. One acquisition was completed on January 23, 2026, while the second acquisition was completed on May 29, 2026. The combined total purchase consideration for the practices was $2,982, of which $2,438 was settled in cash and $544 in practice acquisition notes. The acquired practices provide general dental services, one located in Tucson, Arizona, and one located in Rochester, Minnesota. During the six months ended June 30, 2025, our affiliated dental practices acquired one general dental practice. The final total purchase consideration for the practice was $1,006, of which $803 was settled in cash and $203 in practice acquisition notes. The acquired practice provides general dental services, and is located in the Minneapolis/St. Paul metropolitan area. Practice acquisition notes are generally payable between 12 and 48 months after the date of acquisition.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and financial condition of the acquired entities have been included in our condensed consolidated results as of the date of acquisition. For the three and six months ended June 30, 2026 and 2025, the acquired entity’s impact on revenues and net earnings were not material. Unaudited pro forma revenues and net earnings for the three and six months ended June 30, 2026 and 2025, as if the business combinations had occurred on the first of the year, were immaterial for the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arising from acquisitions consists largely of the synergies and economies of scale expected from increased revenue and cost reductions. We anticipate that acquired goodwill will be deductible for tax purposes.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consideration paid, assessment of assets acquired and liabilities assumed, and resulting goodwill. Management’s measurement of the fair values of acquired assets and assumed liabilities and purchase price allocation is preliminary and subject to finalization when valuations and final assessments of the fair value of acquired assets and assumed liabilities are completed in the measurement period (up to one year from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65" w:name="Tc_hBROaCelK0qaiTr56lBXIQ_14_5"/>
      <w:bookmarkStart w:id="666" w:name="Tc_R5TH4u6SOkOCpaEXtLGOwg_14_2"/>
      <w:bookmarkStart w:id="667" w:name="Tc_8ZjJTRwmoEC1RkSsZyCd7g_14_0"/>
      <w:bookmarkStart w:id="668" w:name="Tc_lvdKKCcI1UC8jBZlu4FExw_13_0"/>
      <w:bookmarkStart w:id="669" w:name="Tc_hcvKYt9baU281jfcdARtJQ_12_5"/>
      <w:bookmarkStart w:id="670" w:name="Tc_Tu4MlFjPYkmRU40lab_Zqg_12_2"/>
      <w:bookmarkStart w:id="671" w:name="Tc__gWxQk1lUUq5JRyWqwAnLQ_12_0"/>
      <w:bookmarkStart w:id="672" w:name="Tc_YBcm-mijoUeNzZSYYEcVVg_11_5"/>
      <w:bookmarkStart w:id="673" w:name="Tc_sZ67VHUwhE2GWx7Dw6ZSXg_11_2"/>
      <w:bookmarkStart w:id="674" w:name="Tc_XesOk6fRNUi3-9NanNiO8Q_11_0"/>
      <w:bookmarkStart w:id="675" w:name="Tc_0vyhM29H-k60bCocncNFiw_10_0"/>
      <w:bookmarkStart w:id="676" w:name="Tc_ANOl3mjO40KTLcuMOKit6A_9_0"/>
      <w:bookmarkStart w:id="677" w:name="Tc_tjbtMLiHpUK1CqhOJcRYlg_8_0"/>
      <w:bookmarkStart w:id="678" w:name="Tc_Ym27iOA1ckOJPcIovTt3IQ_7_0"/>
      <w:bookmarkStart w:id="679" w:name="Tc_LzOf5EONiUWZ_58U6-Q66w_6_0"/>
      <w:bookmarkStart w:id="680" w:name="Tc_pWY1ZjZc8kiZXmE558WDiA_5_0"/>
      <w:bookmarkStart w:id="681" w:name="Tc_DB7tKYDm0kOi91WP6PVUgg_4_5"/>
      <w:bookmarkStart w:id="682" w:name="Tc_TmBEAiVqDkCx-wi5ZSsxkQ_4_2"/>
      <w:bookmarkStart w:id="683" w:name="Tc_fio38mD4uk-LBj_domNOVQ_4_0"/>
      <w:bookmarkStart w:id="684" w:name="Tc_UlWQfRgGpUm-JKpeATWSgw_3_2"/>
      <w:bookmarkStart w:id="685" w:name="Tc_NXfN__Z4ykG9gsy4-3pNPA_2_5"/>
      <w:bookmarkStart w:id="686" w:name="Tc_CRhHwqqra0KdQGTQ2drEEA_2_2"/>
      <w:bookmarkStart w:id="687" w:name="Tc_gkwfg0eWRk23VrKXqZ2wNw_1_2"/>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Fonts w:ascii="Times New Roman;Times;serif" w:hAnsi="Times New Roman;Times;serif"/>
          <w:sz w:val="20"/>
        </w:rPr>
        <w:t>acquisition date). There can be no assurance that such final assessments will not result in material changes from the preliminary purchase price allocations, and such changes may result in changes in the opening balance sheet value of goodwill. The Company’s estimates and assumptions are subject to change during the measurement period as the Company finalizes the valuations of certain tangible and intangible assets acquired, and liabilities assumed. We expect to complete the purchase price allocation for the 2026 acquisitions during fiscal year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Acquisitions completed in the six months ended June 30, 2026 and 2025:</w:t>
      </w:r>
    </w:p>
    <w:p>
      <w:pPr>
        <w:pStyle w:val="TextBody"/>
        <w:bidi w:val="0"/>
        <w:spacing w:before="0" w:after="0"/>
        <w:ind w:left="0" w:right="0" w:hanging="0"/>
        <w:jc w:val="left"/>
        <w:rPr/>
      </w:pPr>
      <w:r>
        <w:rPr/>
        <w:t>​</w:t>
      </w:r>
    </w:p>
    <w:tbl>
      <w:tblPr>
        <w:tblW w:w="6235" w:type="dxa"/>
        <w:jc w:val="left"/>
        <w:tblInd w:w="0" w:type="dxa"/>
        <w:tblLayout w:type="fixed"/>
        <w:tblCellMar>
          <w:top w:w="0" w:type="dxa"/>
          <w:left w:w="0" w:type="dxa"/>
          <w:bottom w:w="0" w:type="dxa"/>
          <w:right w:w="0" w:type="dxa"/>
        </w:tblCellMar>
      </w:tblPr>
      <w:tblGrid>
        <w:gridCol w:w="4051"/>
        <w:gridCol w:w="346"/>
        <w:gridCol w:w="211"/>
        <w:gridCol w:w="691"/>
        <w:gridCol w:w="109"/>
        <w:gridCol w:w="211"/>
        <w:gridCol w:w="61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572385" cy="175260"/>
                      <wp:effectExtent l="0" t="0" r="0" b="0"/>
                      <wp:wrapNone/>
                      <wp:docPr id="100" name="Frame10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103"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91160" cy="175260"/>
                      <wp:effectExtent l="0" t="0" r="0" b="0"/>
                      <wp:wrapNone/>
                      <wp:docPr id="106" name="Frame10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3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lease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acquired and liabilities assumed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purchase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amounts due to sellers – 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in business combinations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803</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7, 2026, Park Dental Partners, Inc., entered into an agreement to acquire Village Family Dental DSO and affiliate with the Village Family Dental professional practices for approximately $29,900 in cash, 474,535 restricted shares of common stock valued at $9,200, and contingent consideration up to $6,900. The Village Family Dental DSO is currently affiliated with Village Family Dental practices, a multi-specialty dental group based in Fayetteville, North Carolina.  The transaction is expected to close in 2026, subject to satisfaction or waiver of customary closing conditions, and will be funded through a combination of cash on hand and borrowings under our existing credit facility.</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bookmarkStart w:id="688" w:name="Tc_SUorBupx7kOxZLVMFgbfEg_7_11"/>
      <w:bookmarkStart w:id="689" w:name="Tc_n2jOXIV1dUi5Ae3112Mofw_7_8"/>
      <w:bookmarkStart w:id="690" w:name="Tc_e3K-HCJ_xE2xMb-WvyheLQ_7_5"/>
      <w:bookmarkStart w:id="691" w:name="Tc_nFZc1WwRbUGigK0yHRH5aA_7_2"/>
      <w:bookmarkStart w:id="692" w:name="Tc_wknnD4F31US6OlOdueb71w_7_0"/>
      <w:bookmarkStart w:id="693" w:name="Tc_v0NOhGDREEK1BQUVnuKRjA_6_0"/>
      <w:bookmarkStart w:id="694" w:name="Tc_SrtDhRKodEWrYbxqdhs7YQ_5_11"/>
      <w:bookmarkStart w:id="695" w:name="Tc_YdSrXeNSKkqiTjBgA7F0QA_5_8"/>
      <w:bookmarkStart w:id="696" w:name="Tc_fLn3tG-5oU6eV54-GlJ_KA_5_5"/>
      <w:bookmarkStart w:id="697" w:name="Tc_GQU1bENhGUywF27XKZ8P8A_5_2"/>
      <w:bookmarkStart w:id="698" w:name="Tc_0j7ZtCzKrUS3QlEzcoBLtA_5_0"/>
      <w:bookmarkStart w:id="699" w:name="Tc_-5M8WUUoMk-ueuDRSoD0WA_4_8"/>
      <w:bookmarkStart w:id="700" w:name="Tc_p_hw5IUYeE2CxHeWw-0ymA_4_2"/>
      <w:bookmarkStart w:id="701" w:name="Tc_2MPy1NjJqEClBVQZZpWp8Q_3_11"/>
      <w:bookmarkStart w:id="702" w:name="Tc_9RwMHayXmESFCWbkEnKoDQ_3_8"/>
      <w:bookmarkStart w:id="703" w:name="Tc_sP4_5uN9rkiXuU21E07KfQ_3_5"/>
      <w:bookmarkStart w:id="704" w:name="Tc_61L-z5KjyU6js1r_7BcaqA_3_2"/>
      <w:bookmarkStart w:id="705" w:name="Tc_Vp4-9ao0fk6DdMFzw5i3Hw_2_8"/>
      <w:bookmarkStart w:id="706" w:name="Tc_DKdPBOO6CU6FtjfIwr3DmQ_2_2"/>
      <w:bookmarkStart w:id="707" w:name="Tc_E6v_lJOI-UWHzf5_U3L92A_1_8"/>
      <w:bookmarkStart w:id="708" w:name="Tc_wzFB02gVr0-0ZtK5FYMzvg_1_2"/>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b/>
          <w:sz w:val="20"/>
        </w:rPr>
        <w:t>3.REVENUE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Disaggregated Revenue Information </w:t>
      </w:r>
      <w:r>
        <w:rPr>
          <w:rFonts w:ascii="Times New Roman;Times;serif" w:hAnsi="Times New Roman;Times;serif"/>
          <w:sz w:val="20"/>
        </w:rPr>
        <w:t>— We view the following disaggregated disclosures as useful to understanding the composition of revenue:</w:t>
      </w:r>
    </w:p>
    <w:p>
      <w:pPr>
        <w:pStyle w:val="TextBody"/>
        <w:bidi w:val="0"/>
        <w:spacing w:before="0" w:after="0"/>
        <w:ind w:left="0" w:right="0" w:hanging="0"/>
        <w:jc w:val="left"/>
        <w:rPr/>
      </w:pPr>
      <w:r>
        <w:rPr/>
        <w:t>​</w:t>
      </w:r>
    </w:p>
    <w:tbl>
      <w:tblPr>
        <w:tblW w:w="7459" w:type="dxa"/>
        <w:jc w:val="left"/>
        <w:tblInd w:w="0" w:type="dxa"/>
        <w:tblLayout w:type="fixed"/>
        <w:tblCellMar>
          <w:top w:w="0" w:type="dxa"/>
          <w:left w:w="0" w:type="dxa"/>
          <w:bottom w:w="0" w:type="dxa"/>
          <w:right w:w="0" w:type="dxa"/>
        </w:tblCellMar>
      </w:tblPr>
      <w:tblGrid>
        <w:gridCol w:w="2176"/>
        <w:gridCol w:w="346"/>
        <w:gridCol w:w="213"/>
        <w:gridCol w:w="684"/>
        <w:gridCol w:w="350"/>
        <w:gridCol w:w="213"/>
        <w:gridCol w:w="684"/>
        <w:gridCol w:w="346"/>
        <w:gridCol w:w="211"/>
        <w:gridCol w:w="781"/>
        <w:gridCol w:w="346"/>
        <w:gridCol w:w="211"/>
        <w:gridCol w:w="898"/>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81760" cy="175260"/>
                      <wp:effectExtent l="0" t="0" r="0" b="0"/>
                      <wp:wrapNone/>
                      <wp:docPr id="107" name="Frame107"/>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255" cy="175260"/>
                      <wp:effectExtent l="0" t="0" r="0" b="0"/>
                      <wp:wrapNone/>
                      <wp:docPr id="109" name="Frame10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4340" cy="175260"/>
                      <wp:effectExtent l="0" t="0" r="0" b="0"/>
                      <wp:wrapNone/>
                      <wp:docPr id="110" name="Frame11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2250" cy="175260"/>
                      <wp:effectExtent l="0" t="0" r="0" b="0"/>
                      <wp:wrapNone/>
                      <wp:docPr id="111" name="Frame11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5255" cy="175260"/>
                      <wp:effectExtent l="0" t="0" r="0" b="0"/>
                      <wp:wrapNone/>
                      <wp:docPr id="112" name="Frame11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4340" cy="175260"/>
                      <wp:effectExtent l="0" t="0" r="0" b="0"/>
                      <wp:wrapNone/>
                      <wp:docPr id="113" name="Frame11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0230" cy="175260"/>
                      <wp:effectExtent l="0" t="0" r="0" b="0"/>
                      <wp:wrapNone/>
                      <wp:docPr id="119" name="Frame11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4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5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4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dentistry</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89,887</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Multi-Specialty dentistry</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17,325</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32,148</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122,035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4.CONCENTRATION OF 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us to possible credit risk consist principally of accounts receivable and cash deposits in excess of insured limits.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receivable consist of amounts due from patients, their insurers, or governmental agencies for health care provided to the patients. The majority of patients are from Minnesota, Wisconsin, and Arizona.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709" w:name="Tc_5PcE1-LNokmdeP2jtT_z9A_6_6"/>
      <w:bookmarkStart w:id="710" w:name="Tc_M7g4rvQ2AU66sbg4NunC2Q_6_3"/>
      <w:bookmarkStart w:id="711" w:name="Tc_vwaNc_TtC0KsCrWzGEIPjQ_6_0"/>
      <w:bookmarkStart w:id="712" w:name="Tc_PBGmp9sVGkqp77_Z5czUQA_5_0"/>
      <w:bookmarkStart w:id="713" w:name="Tc_uDCdI0hzIE-WYTnCxmV8LA_4_6"/>
      <w:bookmarkStart w:id="714" w:name="Tc_NLxaO-vwoU6prF5ZiI1K2g_4_3"/>
      <w:bookmarkStart w:id="715" w:name="Tc_KMP7p0AWmkCDum3mnm1QvA_4_0"/>
      <w:bookmarkStart w:id="716" w:name="Tc_u4gw-ZRUvEiwCb6uWuJM7Q_3_2"/>
      <w:bookmarkStart w:id="717" w:name="Tc_jkeqanuAw0uewPzp8i_Tsg_2_5"/>
      <w:bookmarkStart w:id="718" w:name="Tc_T1ZICsfZFk2vdek1A400rQ_2_2"/>
      <w:bookmarkStart w:id="719" w:name="Tc_lzVeS4nRPUO7a5QZeLAcmw_1_2"/>
      <w:bookmarkEnd w:id="709"/>
      <w:bookmarkEnd w:id="710"/>
      <w:bookmarkEnd w:id="711"/>
      <w:bookmarkEnd w:id="712"/>
      <w:bookmarkEnd w:id="713"/>
      <w:bookmarkEnd w:id="714"/>
      <w:bookmarkEnd w:id="715"/>
      <w:bookmarkEnd w:id="716"/>
      <w:bookmarkEnd w:id="717"/>
      <w:bookmarkEnd w:id="718"/>
      <w:bookmarkEnd w:id="719"/>
      <w:r>
        <w:rPr>
          <w:rFonts w:ascii="Times New Roman;Times;serif" w:hAnsi="Times New Roman;Times;serif"/>
          <w:sz w:val="20"/>
        </w:rPr>
        <w:t>The mix of receivables from patients and third-party payors are as follows:</w:t>
      </w:r>
    </w:p>
    <w:p>
      <w:pPr>
        <w:pStyle w:val="TextBody"/>
        <w:bidi w:val="0"/>
        <w:spacing w:before="0" w:after="0"/>
        <w:ind w:left="0" w:right="0" w:hanging="0"/>
        <w:jc w:val="left"/>
        <w:rPr/>
      </w:pPr>
      <w:r>
        <w:rPr/>
        <w:t>​</w:t>
      </w:r>
    </w:p>
    <w:tbl>
      <w:tblPr>
        <w:tblW w:w="4563" w:type="dxa"/>
        <w:jc w:val="left"/>
        <w:tblInd w:w="0" w:type="dxa"/>
        <w:tblLayout w:type="fixed"/>
        <w:tblCellMar>
          <w:top w:w="0" w:type="dxa"/>
          <w:left w:w="0" w:type="dxa"/>
          <w:bottom w:w="0" w:type="dxa"/>
          <w:right w:w="0" w:type="dxa"/>
        </w:tblCellMar>
      </w:tblPr>
      <w:tblGrid>
        <w:gridCol w:w="1636"/>
        <w:gridCol w:w="146"/>
        <w:gridCol w:w="606"/>
        <w:gridCol w:w="520"/>
        <w:gridCol w:w="109"/>
        <w:gridCol w:w="883"/>
        <w:gridCol w:w="663"/>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38860" cy="175260"/>
                      <wp:effectExtent l="0" t="0" r="0" b="0"/>
                      <wp:wrapNone/>
                      <wp:docPr id="120" name="Frame12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710" cy="175260"/>
                      <wp:effectExtent l="0" t="0" r="0" b="0"/>
                      <wp:wrapNone/>
                      <wp:docPr id="121" name="Frame1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4810" cy="175260"/>
                      <wp:effectExtent l="0" t="0" r="0" b="0"/>
                      <wp:wrapNone/>
                      <wp:docPr id="122" name="Frame122"/>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30200" cy="175260"/>
                      <wp:effectExtent l="0" t="0" r="0" b="0"/>
                      <wp:wrapNone/>
                      <wp:docPr id="123" name="Frame123"/>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0705" cy="175260"/>
                      <wp:effectExtent l="0" t="0" r="0" b="0"/>
                      <wp:wrapNone/>
                      <wp:docPr id="125" name="Frame125"/>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1005" cy="175260"/>
                      <wp:effectExtent l="0" t="0" r="0" b="0"/>
                      <wp:wrapNone/>
                      <wp:docPr id="126" name="Frame12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7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16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56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7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w:t>
            </w:r>
          </w:p>
        </w:tc>
        <w:tc>
          <w:tcPr>
            <w:tcW w:w="146"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5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payors</w:t>
            </w:r>
          </w:p>
        </w:tc>
        <w:tc>
          <w:tcPr>
            <w:tcW w:w="146" w:type="dxa"/>
            <w:tcBorders/>
            <w:vAlign w:val="center"/>
          </w:tcPr>
          <w:p>
            <w:pPr>
              <w:pStyle w:val="TableContents"/>
              <w:bidi w:val="0"/>
              <w:spacing w:before="0" w:after="0"/>
              <w:ind w:left="0" w:right="0" w:hanging="0"/>
              <w:jc w:val="left"/>
              <w:rPr/>
            </w:pPr>
            <w:r>
              <w:rPr/>
              <w:t> </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520"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63"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146" w:type="dxa"/>
            <w:tcBorders/>
            <w:shd w:fill="CCEEFF" w:val="clear"/>
            <w:vAlign w:val="center"/>
          </w:tcPr>
          <w:p>
            <w:pPr>
              <w:pStyle w:val="TableContents"/>
              <w:bidi w:val="0"/>
              <w:spacing w:before="0" w:after="0"/>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third-party payor and their affiliated entities accounted for approximately 29% and approximately 30% of our condensed consolidated net revenue for the three months ended June 30, 2026 and 2025, respectively, and approximately 30% and 28%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receivable from one third-party payor and their affiliated entities accounted for approximately 26% and approximately 23% of total accounts receivable at June 30, 2026 and December 31,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depository relationship with one primary financial institution. Operating cash requirements frequently require that amounts on deposit exceed Federal Deposit Insurance Corporation limits. We believe this financial institution has a strong credit rating and that credit risk related to these deposits is minimal. As of June 30, 2026 and December 31, 2025, cash deposits in excess of the federally insured amounts were $23,819 and $24,618, respectively.</w:t>
      </w:r>
    </w:p>
    <w:p>
      <w:pPr>
        <w:pStyle w:val="TextBody"/>
        <w:bidi w:val="0"/>
        <w:ind w:left="0" w:right="0" w:hanging="0"/>
        <w:jc w:val="left"/>
        <w:rPr>
          <w:rFonts w:ascii="Times New Roman;Times;serif" w:hAnsi="Times New Roman;Times;serif"/>
          <w:sz w:val="20"/>
        </w:rPr>
      </w:pPr>
      <w:bookmarkStart w:id="720" w:name="Tc_1EC6alKZsU-GgNPWqUrB9A_12_5"/>
      <w:bookmarkStart w:id="721" w:name="Tc_-Tv4NH0ZrkKWHMezE1_xBQ_12_2"/>
      <w:bookmarkStart w:id="722" w:name="Tc_YsC9xbolWUCeqyEHIIZ3Eg_12_0"/>
      <w:bookmarkStart w:id="723" w:name="Tc_JGoSlEhY9EaUAlcr3BAh0Q_11_0"/>
      <w:bookmarkStart w:id="724" w:name="Tc_coe2X5o0Rk6XzSaytPe3aA_10_0"/>
      <w:bookmarkStart w:id="725" w:name="Tc_0JyVW0rBD0euzDO1CJnFcA_9_0"/>
      <w:bookmarkStart w:id="726" w:name="Tc_eieQGuCOe0K9wcLHGEPxmw_8_0"/>
      <w:bookmarkStart w:id="727" w:name="Tc_HPmWsK_OfE6HLO8IzhLIQw_7_0"/>
      <w:bookmarkStart w:id="728" w:name="Tc_R6ojGjGU-kmxNcq-2EY8gA_6_0"/>
      <w:bookmarkStart w:id="729" w:name="Tc_21yFIQmZzU-VjD3nnqW54g_5_0"/>
      <w:bookmarkStart w:id="730" w:name="Tc_ZA-9KsozekSLxV5Pguby1w_4_5"/>
      <w:bookmarkStart w:id="731" w:name="Tc_IkfeByeW_U-vxe3P56cXiQ_4_2"/>
      <w:bookmarkStart w:id="732" w:name="Tc_neXjrazIlUyWJCYzFnNKrQ_4_0"/>
      <w:bookmarkStart w:id="733" w:name="Tc_2yP55XnrokSYAZvudf37sw_3_2"/>
      <w:bookmarkStart w:id="734" w:name="Tc_pBdnhR4WBEmqLZpj6ctfPA_2_5"/>
      <w:bookmarkStart w:id="735" w:name="Tc_e3urFL_usk2zOqyahwQESw_2_2"/>
      <w:bookmarkStart w:id="736" w:name="Tc_MyN9OXYwnEquxLJQckA9hA_1_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b/>
          <w:sz w:val="20"/>
        </w:rPr>
        <w:t>5.</w:t>
      </w:r>
      <w:r>
        <w:rPr>
          <w:rFonts w:ascii="Times New Roman;Times;serif" w:hAnsi="Times New Roman;Times;serif"/>
          <w:b/>
          <w:sz w:val="21"/>
        </w:rPr>
        <w:t>PROPERTY AND EQUIPMENT</w:t>
      </w:r>
    </w:p>
    <w:p>
      <w:pPr>
        <w:pStyle w:val="TextBody"/>
        <w:bidi w:val="0"/>
        <w:spacing w:before="0" w:after="0"/>
        <w:ind w:left="0" w:right="0" w:hanging="0"/>
        <w:jc w:val="left"/>
        <w:rPr/>
      </w:pPr>
      <w:r>
        <w:rPr/>
        <w:t>​</w:t>
      </w:r>
    </w:p>
    <w:tbl>
      <w:tblPr>
        <w:tblW w:w="6305" w:type="dxa"/>
        <w:jc w:val="left"/>
        <w:tblInd w:w="0" w:type="dxa"/>
        <w:tblLayout w:type="fixed"/>
        <w:tblCellMar>
          <w:top w:w="0" w:type="dxa"/>
          <w:left w:w="0" w:type="dxa"/>
          <w:bottom w:w="0" w:type="dxa"/>
          <w:right w:w="0" w:type="dxa"/>
        </w:tblCellMar>
      </w:tblPr>
      <w:tblGrid>
        <w:gridCol w:w="2941"/>
        <w:gridCol w:w="346"/>
        <w:gridCol w:w="239"/>
        <w:gridCol w:w="887"/>
        <w:gridCol w:w="346"/>
        <w:gridCol w:w="314"/>
        <w:gridCol w:w="1232"/>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67535" cy="175260"/>
                      <wp:effectExtent l="0" t="0" r="0" b="0"/>
                      <wp:wrapNone/>
                      <wp:docPr id="127" name="Frame12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1765" cy="175260"/>
                      <wp:effectExtent l="0" t="0" r="0" b="0"/>
                      <wp:wrapNone/>
                      <wp:docPr id="129" name="Frame1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63245" cy="175260"/>
                      <wp:effectExtent l="0" t="0" r="0" b="0"/>
                      <wp:wrapNone/>
                      <wp:docPr id="130" name="Frame13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9390" cy="175260"/>
                      <wp:effectExtent l="0" t="0" r="0" b="0"/>
                      <wp:wrapNone/>
                      <wp:docPr id="132" name="Frame13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82320" cy="175260"/>
                      <wp:effectExtent l="0" t="0" r="0" b="0"/>
                      <wp:wrapNone/>
                      <wp:docPr id="133" name="Frame133"/>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3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17,908</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 and signage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51,453</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47,271</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124,630</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94,589</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29,286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expense in the condensed consolidated statement of operations was $2,019 and $2,057 for the three months ended June 30, 2026 and 2025, respectively, and was $4,086 and $4,053 for the six months ended June 30, 2026 and 2025, respectively. All assets of the Company are located in the United States of America.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left"/>
        <w:rPr>
          <w:rFonts w:ascii="Times New Roman;Times;serif" w:hAnsi="Times New Roman;Times;serif"/>
          <w:sz w:val="20"/>
        </w:rPr>
      </w:pPr>
      <w:bookmarkStart w:id="737" w:name="Tc_N8T9BGYGM0CwYJg3c-__1g_8_2"/>
      <w:bookmarkStart w:id="738" w:name="Tc_7mzlJyxRPkC9mEiAsmJNfg_8_0"/>
      <w:bookmarkStart w:id="739" w:name="Tc_FHEJnqHTMU2jiCfIe0zRdA_7_0"/>
      <w:bookmarkStart w:id="740" w:name="Tc_oFYM-hEeUE6R_Hxhu8DdRQ_6_0"/>
      <w:bookmarkStart w:id="741" w:name="Tc_sM0o842IZUO6zYc19OzVWQ_5_0"/>
      <w:bookmarkStart w:id="742" w:name="Tc_P8GlNqQ66UaBS8ol8Em6gg_4_0"/>
      <w:bookmarkStart w:id="743" w:name="Tc_ncaVyCwW6k-6FpR5HurZCQ_3_0"/>
      <w:bookmarkStart w:id="744" w:name="Tc_MRZ4ITXgREKIz3hJgIW0zQ_2_2"/>
      <w:bookmarkStart w:id="745" w:name="Tc_ec4OeMQjHkmXI_fOm-MTJg_2_0"/>
      <w:bookmarkStart w:id="746" w:name="Tc_MubEoGelNEapGy4apheIhQ_1_2"/>
      <w:bookmarkStart w:id="747" w:name="Tc_JUTIolMG00yjb8zTCEiKKA_8_8"/>
      <w:bookmarkStart w:id="748" w:name="Tc_8MCqCoj5akK3_UNWidXahA_8_5"/>
      <w:bookmarkStart w:id="749" w:name="Tc_qIbujmnA-k2SGdTwfRUivA_8_2"/>
      <w:bookmarkStart w:id="750" w:name="Tc_VqlCjtNSuEyVZaYnkyn-fg_8_0"/>
      <w:bookmarkStart w:id="751" w:name="Tc_sPw_KdUYXE-WkOy-APhMjg_7_0"/>
      <w:bookmarkStart w:id="752" w:name="Tc_DZdPU66GukiAeR6KYqDi7w_6_9"/>
      <w:bookmarkStart w:id="753" w:name="Tc_i5FfEtXpfkSVcIgr0JrDYw_6_8"/>
      <w:bookmarkStart w:id="754" w:name="Tc_FVup7M6u1UaE4Kq32bZuAg_6_5"/>
      <w:bookmarkStart w:id="755" w:name="Tc_hawosH_grki8H43gwB3RTA_6_2"/>
      <w:bookmarkStart w:id="756" w:name="Tc_Zeu8pkf8vU-nWAsNGAJfZw_6_0"/>
      <w:bookmarkStart w:id="757" w:name="Tc_my6GKHxea0S5IGCyBQeFkA_5_0"/>
      <w:bookmarkStart w:id="758" w:name="Tc_F04f4Dlct0OEspmVpI4jXQ_4_2"/>
      <w:bookmarkStart w:id="759" w:name="Tc_BPb72IF8S0CcJAwZvnG2xg_3_8"/>
      <w:bookmarkStart w:id="760" w:name="Tc_mXHg8Py7gUW3gKpAIBMneg_3_5"/>
      <w:bookmarkStart w:id="761" w:name="Tc_LbYeUKNcoEmRQGET4xVMqg_3_2"/>
      <w:bookmarkStart w:id="762" w:name="Tc_jgrAC_cM702nroI48pc_dQ_2_8"/>
      <w:bookmarkStart w:id="763" w:name="Tc_I3pyBTKQOkWZq8CSP_Ki1g_2_5"/>
      <w:bookmarkStart w:id="764" w:name="Tc_Jj5hg97SpEujMPZjH6gDmQ_2_2"/>
      <w:bookmarkStart w:id="765" w:name="Tc__Hn8hOA1vke1b8TIYtAdUw_1_2"/>
      <w:bookmarkStart w:id="766" w:name="_d99f0b46_6d3b_46fa_9df9_1d4ccc2c6ceb"/>
      <w:bookmarkStart w:id="767" w:name="Tc_D2qTsLdDCEWVD5NdUttwsA_8_8"/>
      <w:bookmarkStart w:id="768" w:name="Tc_p0uZqiz44U2b9-1ArBR7EQ_8_5"/>
      <w:bookmarkStart w:id="769" w:name="Tc_DKM7ZtmdZkizUd75ly7SIQ_8_2"/>
      <w:bookmarkStart w:id="770" w:name="Tc_eoGIFxrif0Oi_QnoFmWhpQ_8_0"/>
      <w:bookmarkStart w:id="771" w:name="Tc_dAFfIwqyO0uXBfZMoK_Nuw_7_0"/>
      <w:bookmarkStart w:id="772" w:name="Tc_SDAwZOvuuUWa7hK_moHAng_6_9"/>
      <w:bookmarkStart w:id="773" w:name="Tc_Eu1hK3ffc0id_kqy-UYb2w_6_8"/>
      <w:bookmarkStart w:id="774" w:name="Tc_fXrz51jK2kSo0rV0xKzG6g_6_2"/>
      <w:bookmarkStart w:id="775" w:name="Tc_a5ykjUPZikaOUETw8qI7fA_6_0"/>
      <w:bookmarkStart w:id="776" w:name="Tc_SBYdLbPfj0KFwcFI8SYoBQ_5_0"/>
      <w:bookmarkStart w:id="777" w:name="Tc_vlJZ2BZT3EOI2kZxwzTrbA_4_2"/>
      <w:bookmarkStart w:id="778" w:name="Tc_Ivo-LJjJcE2rrrSPhgOKEw_3_8"/>
      <w:bookmarkStart w:id="779" w:name="Tc_EY7-A9Dd9Uev6-59UXoheQ_3_5"/>
      <w:bookmarkStart w:id="780" w:name="Tc_BxQmEDIGSUOyWghBW7tQ-Q_3_2"/>
      <w:bookmarkStart w:id="781" w:name="Tc_9SooYxdKy0aI0W5pt8dxQQ_2_8"/>
      <w:bookmarkStart w:id="782" w:name="Tc_d2oyREmJckWVMMjJQ841fw_2_5"/>
      <w:bookmarkStart w:id="783" w:name="Tc_CRFnQxoafEywR7Jd9lAZdA_2_2"/>
      <w:bookmarkStart w:id="784" w:name="Tc_gXQsgRXxOUeSJwkT0Fgpig_1_2"/>
      <w:bookmarkStart w:id="785" w:name="_113e679b_8742_4f72_a78a_38ce7457a89e"/>
      <w:bookmarkStart w:id="786" w:name="Tc_4uTPRfcgcEmnAFL6yeqsZA_7_5"/>
      <w:bookmarkStart w:id="787" w:name="Tc_2AxJATNY806qokgyvS-2hw_7_2"/>
      <w:bookmarkStart w:id="788" w:name="Tc_ipr_JzmNPUW8oDNEj8uVAA_7_0"/>
      <w:bookmarkStart w:id="789" w:name="Tc_uXhqs-OFrka37-cfboUmMQ_6_6"/>
      <w:bookmarkStart w:id="790" w:name="Tc_P2zGx5JcSUOV5Woq-EyRjA_6_0"/>
      <w:bookmarkStart w:id="791" w:name="Tc_X7KiyhNPPkmTn621xrcNlA_5_0"/>
      <w:bookmarkStart w:id="792" w:name="Tc_IJivTetG2UmDAZVwdUjqDw_4_5"/>
      <w:bookmarkStart w:id="793" w:name="Tc_-dprRG90kkWMMEiM0t23eg_4_2"/>
      <w:bookmarkStart w:id="794" w:name="Tc_e2zdHguN4kSh40ZQlsIoww_4_0"/>
      <w:bookmarkStart w:id="795" w:name="Tc_sH-w58oOvUW2M8MUT1gFcA_3_0"/>
      <w:bookmarkStart w:id="796" w:name="Tc_s-cLrYSDkEC8Usv0tDMprQ_2_2"/>
      <w:bookmarkStart w:id="797" w:name="Tc_bCCS9f5zxU-ryrRcogoMbg_1_5"/>
      <w:bookmarkStart w:id="798" w:name="Tc_mgWCxSe6u0O2lisLFJE9bQ_1_2"/>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Pr>
          <w:rFonts w:ascii="Times New Roman;Times;serif" w:hAnsi="Times New Roman;Times;serif"/>
          <w:b/>
          <w:sz w:val="20"/>
        </w:rPr>
        <w:t>6.</w:t>
      </w:r>
      <w:r>
        <w:rPr>
          <w:rFonts w:ascii="Times New Roman;Times;serif" w:hAnsi="Times New Roman;Times;serif"/>
          <w:b/>
          <w:sz w:val="21"/>
        </w:rPr>
        <w:t>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the carrying amount of Goodwill for the six months ended June 30, 2026 and 2025, consisted of the following:</w:t>
      </w:r>
    </w:p>
    <w:p>
      <w:pPr>
        <w:pStyle w:val="TextBody"/>
        <w:bidi w:val="0"/>
        <w:spacing w:before="0" w:after="240"/>
        <w:ind w:left="0" w:right="0" w:firstLine="720"/>
        <w:jc w:val="left"/>
        <w:rPr/>
      </w:pPr>
      <w:r>
        <w:rPr/>
        <w:t>​</w:t>
      </w:r>
    </w:p>
    <w:tbl>
      <w:tblPr>
        <w:tblW w:w="5152" w:type="dxa"/>
        <w:jc w:val="left"/>
        <w:tblInd w:w="0" w:type="dxa"/>
        <w:tblLayout w:type="fixed"/>
        <w:tblCellMar>
          <w:top w:w="0" w:type="dxa"/>
          <w:left w:w="0" w:type="dxa"/>
          <w:bottom w:w="0" w:type="dxa"/>
          <w:right w:w="0" w:type="dxa"/>
        </w:tblCellMar>
      </w:tblPr>
      <w:tblGrid>
        <w:gridCol w:w="2806"/>
        <w:gridCol w:w="346"/>
        <w:gridCol w:w="211"/>
        <w:gridCol w:w="676"/>
        <w:gridCol w:w="109"/>
        <w:gridCol w:w="211"/>
        <w:gridCol w:w="793"/>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81810" cy="175260"/>
                      <wp:effectExtent l="0" t="0" r="0" b="0"/>
                      <wp:wrapNone/>
                      <wp:docPr id="134" name="Frame134"/>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7" name="Frame1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3555" cy="175260"/>
                      <wp:effectExtent l="0" t="0" r="0" b="0"/>
                      <wp:wrapNone/>
                      <wp:docPr id="140" name="Frame14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Goodwill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3" w:type="dxa"/>
            <w:tcBorders/>
            <w:shd w:fill="CCEEFF" w:val="clear"/>
            <w:vAlign w:val="center"/>
          </w:tcPr>
          <w:p>
            <w:pPr>
              <w:pStyle w:val="TableContents"/>
              <w:bidi w:val="0"/>
              <w:spacing w:before="0" w:after="1"/>
              <w:ind w:left="0" w:right="0" w:hanging="0"/>
              <w:jc w:val="center"/>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January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16,559</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 period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June 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17,071</w:t>
            </w:r>
          </w:p>
        </w:tc>
      </w:tr>
    </w:tbl>
    <w:p>
      <w:pPr>
        <w:pStyle w:val="TextBody"/>
        <w:bidi w:val="0"/>
        <w:spacing w:before="0" w:after="24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2581"/>
        <w:gridCol w:w="346"/>
        <w:gridCol w:w="296"/>
        <w:gridCol w:w="950"/>
        <w:gridCol w:w="346"/>
        <w:gridCol w:w="291"/>
        <w:gridCol w:w="790"/>
        <w:gridCol w:w="346"/>
        <w:gridCol w:w="236"/>
        <w:gridCol w:w="890"/>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38935" cy="175260"/>
                      <wp:effectExtent l="0" t="0" r="0" b="0"/>
                      <wp:wrapNone/>
                      <wp:docPr id="141" name="Frame14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7960" cy="175260"/>
                      <wp:effectExtent l="0" t="0" r="0" b="0"/>
                      <wp:wrapNone/>
                      <wp:docPr id="143" name="Frame14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03250" cy="175260"/>
                      <wp:effectExtent l="0" t="0" r="0" b="0"/>
                      <wp:wrapNone/>
                      <wp:docPr id="144" name="Frame14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4785" cy="175260"/>
                      <wp:effectExtent l="0" t="0" r="0" b="0"/>
                      <wp:wrapNone/>
                      <wp:docPr id="146" name="Frame14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01650" cy="175260"/>
                      <wp:effectExtent l="0" t="0" r="0" b="0"/>
                      <wp:wrapNone/>
                      <wp:docPr id="147" name="Frame14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9860" cy="175260"/>
                      <wp:effectExtent l="0" t="0" r="0" b="0"/>
                      <wp:wrapNone/>
                      <wp:docPr id="149" name="Frame14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5150" cy="175260"/>
                      <wp:effectExtent l="0" t="0" r="0" b="0"/>
                      <wp:wrapNone/>
                      <wp:docPr id="150" name="Frame150"/>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707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45"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Amortizable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1"/>
              <w:ind w:left="0" w:right="0" w:hanging="0"/>
              <w:jc w:val="righ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20,619</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7,364</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13,255</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22,569</w:t>
            </w:r>
          </w:p>
        </w:tc>
        <w:tc>
          <w:tcPr>
            <w:tcW w:w="34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9,314</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13,255</w:t>
            </w:r>
          </w:p>
        </w:tc>
      </w:tr>
    </w:tbl>
    <w:p>
      <w:pPr>
        <w:pStyle w:val="TextBody"/>
        <w:bidi w:val="0"/>
        <w:spacing w:before="0" w:after="24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2581"/>
        <w:gridCol w:w="346"/>
        <w:gridCol w:w="296"/>
        <w:gridCol w:w="950"/>
        <w:gridCol w:w="346"/>
        <w:gridCol w:w="291"/>
        <w:gridCol w:w="790"/>
        <w:gridCol w:w="346"/>
        <w:gridCol w:w="236"/>
        <w:gridCol w:w="890"/>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38935" cy="175260"/>
                      <wp:effectExtent l="0" t="0" r="0" b="0"/>
                      <wp:wrapNone/>
                      <wp:docPr id="151" name="Frame15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7960" cy="175260"/>
                      <wp:effectExtent l="0" t="0" r="0" b="0"/>
                      <wp:wrapNone/>
                      <wp:docPr id="153" name="Frame15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03250" cy="175260"/>
                      <wp:effectExtent l="0" t="0" r="0" b="0"/>
                      <wp:wrapNone/>
                      <wp:docPr id="154" name="Frame15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4785" cy="175260"/>
                      <wp:effectExtent l="0" t="0" r="0" b="0"/>
                      <wp:wrapNone/>
                      <wp:docPr id="156" name="Frame15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01650" cy="175260"/>
                      <wp:effectExtent l="0" t="0" r="0" b="0"/>
                      <wp:wrapNone/>
                      <wp:docPr id="157" name="Frame15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9860" cy="175260"/>
                      <wp:effectExtent l="0" t="0" r="0" b="0"/>
                      <wp:wrapNone/>
                      <wp:docPr id="159" name="Frame15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5150" cy="175260"/>
                      <wp:effectExtent l="0" t="0" r="0" b="0"/>
                      <wp:wrapNone/>
                      <wp:docPr id="160" name="Frame160"/>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707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5"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lists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19,849</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11,182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Trademark and patient list amortization expense was $331 and $279 for the three months ended June 30, 2026 and 2025, respectively, and was $647 and $557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on amortizable intangible assets for each of the next five years and thereafter is as follows:</w:t>
      </w:r>
    </w:p>
    <w:p>
      <w:pPr>
        <w:pStyle w:val="TextBody"/>
        <w:bidi w:val="0"/>
        <w:spacing w:before="0" w:after="0"/>
        <w:ind w:left="0" w:right="0" w:hanging="0"/>
        <w:jc w:val="left"/>
        <w:rPr/>
      </w:pPr>
      <w:r>
        <w:rPr/>
        <w:t>​</w:t>
      </w:r>
    </w:p>
    <w:tbl>
      <w:tblPr>
        <w:tblW w:w="3002" w:type="dxa"/>
        <w:jc w:val="left"/>
        <w:tblInd w:w="0" w:type="dxa"/>
        <w:tblLayout w:type="fixed"/>
        <w:tblCellMar>
          <w:top w:w="0" w:type="dxa"/>
          <w:left w:w="0" w:type="dxa"/>
          <w:bottom w:w="0" w:type="dxa"/>
          <w:right w:w="0" w:type="dxa"/>
        </w:tblCellMar>
      </w:tblPr>
      <w:tblGrid>
        <w:gridCol w:w="1486"/>
        <w:gridCol w:w="346"/>
        <w:gridCol w:w="246"/>
        <w:gridCol w:w="924"/>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43610" cy="175260"/>
                      <wp:effectExtent l="0" t="0" r="0" b="0"/>
                      <wp:wrapNone/>
                      <wp:docPr id="161" name="Frame161"/>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6210" cy="175260"/>
                      <wp:effectExtent l="0" t="0" r="0" b="0"/>
                      <wp:wrapNone/>
                      <wp:docPr id="163" name="Frame16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86740" cy="175260"/>
                      <wp:effectExtent l="0" t="0" r="0" b="0"/>
                      <wp:wrapNone/>
                      <wp:docPr id="164" name="Frame164"/>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13,255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7.INCOME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interim tax provision is determined using an estimate of the annual effective tax rate, adjusted for discrete items, if any, which are taken into account in the relevant period. Each quarter, we update an estimate of the annual effective tax rate, and if the estimated tax rate changes, we make a cumulative adjustment.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recorded an income tax (benefit) of $(230) and $(1,841) in the three and six months ended June 30, 2026, compared to an income tax expense of $1,248 and $1,894 in the three and six months ended June 30, 2025. Our effective tax rate was (20.6)% and 208.7% for the three and six months ended June 30, 2026, compared to 32.7% and 31.4% for the three and six months ended June 30,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changes in the effective tax rate for the three and six months ended June 30, 2026 compared to the prior year are primarily driven by higher discrete deductible expenses associated with vesting of share awards in the three and six months ended June 30, 2026.</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b/>
          <w:sz w:val="22"/>
        </w:rPr>
        <w:t>LINE O</w:t>
      </w:r>
      <w:r>
        <w:rPr>
          <w:rFonts w:ascii="Times New Roman;Times;serif" w:hAnsi="Times New Roman;Times;serif"/>
          <w:b/>
          <w:sz w:val="21"/>
        </w:rPr>
        <w:t>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June 30, 2026, we had a $15,000 available line of credit with a bank bearing interest at the one-month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2.00%. Our credit agreement with the bank includes a $13,000 term loan and provides for a $15,000 line of credit and, subject to the terms of the credit agreement and the lender’s consent, permits the Company to request increases in the revolving commitment of up to an aggregate additional $10,000. The credit agreement was amended on February 13, 2026 to extend the availability under the line of credit from March 2027 to March 2029, update certain financial covenants and definitions, and provide consent for the formation of a new subsidiary. On April 30, 2026 we entered into a second amendment to the credit agreement that added our Arizona subsidiary as a co-borrower and modified certain subsidiary and acquisition-related provisions.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No amounts were outstanding under the line of credit at June 30, 2026 or December 31, 2025. There was no activity on the line of credit for the first six months of 2026. Activity on the line of credit for fiscal 2025 included advances of $14,903 and repayments of $14,903. </w:t>
      </w:r>
    </w:p>
    <w:p>
      <w:pPr>
        <w:pStyle w:val="TextBody"/>
        <w:bidi w:val="0"/>
        <w:ind w:left="0" w:right="0" w:hanging="0"/>
        <w:jc w:val="left"/>
        <w:rPr>
          <w:rFonts w:ascii="Times New Roman;Times;serif" w:hAnsi="Times New Roman;Times;serif"/>
          <w:sz w:val="20"/>
        </w:rPr>
      </w:pPr>
      <w:bookmarkStart w:id="799" w:name="Tc_0-p6pR7fC0msfsOoCLwyQg_8_2"/>
      <w:bookmarkStart w:id="800" w:name="Tc_nPyLa6205kuuNlMmqAfsSA_8_0"/>
      <w:bookmarkStart w:id="801" w:name="Tc_pr5KI8x47UatOJuT07EhSw_7_0"/>
      <w:bookmarkStart w:id="802" w:name="Tc_iiwb0cIycUaFp32w_Sh4sw_6_3"/>
      <w:bookmarkStart w:id="803" w:name="Tc_qDxvigoE0kCNYyOV2jXPxw_6_0"/>
      <w:bookmarkStart w:id="804" w:name="Tc_ozyB57ZMW0uD_VT55Nb7hw_5_0"/>
      <w:bookmarkStart w:id="805" w:name="Tc_9Wu3f60A3ESAuCK5k-A-5w_4_0"/>
      <w:bookmarkStart w:id="806" w:name="Tc_nEYJWmmfS0udtnBy23fxow_3_0"/>
      <w:bookmarkStart w:id="807" w:name="Tc_Ui10k1pq3E--h6f6NF8mRw_2_2"/>
      <w:bookmarkStart w:id="808" w:name="Tc_W5196hUk3UaGCHvfE89jUA_2_0"/>
      <w:bookmarkStart w:id="809" w:name="Tc_n27UmMWie0KRNaN8nMdx8Q_1_2"/>
      <w:bookmarkStart w:id="810" w:name="Tc_MFWuzc1wvEGoY6SofOG7EQ_9_5"/>
      <w:bookmarkStart w:id="811" w:name="Tc_PUV8c6Bgy0u4EGGNT0occA_9_2"/>
      <w:bookmarkStart w:id="812" w:name="Tc_sKR0KblNU06oKiQeTjF31A_9_0"/>
      <w:bookmarkStart w:id="813" w:name="Tc_0W9X8cwkwEm4nDAsXT1wNw_8_0"/>
      <w:bookmarkStart w:id="814" w:name="Tc_MUxURO0d1EaZajFxd7egIQ_7_0"/>
      <w:bookmarkStart w:id="815" w:name="Tc_ygsvbWAuM0CmOJ_Kwnibqw_6_0"/>
      <w:bookmarkStart w:id="816" w:name="Tc_z4730nopnUyGtrGp_NV-Qw_5_0"/>
      <w:bookmarkStart w:id="817" w:name="Tc_LsF3y1iMu0SDcGSqWUXOhg_4_5"/>
      <w:bookmarkStart w:id="818" w:name="Tc_wS_a_tbvFkOajocO7gKr4A_4_2"/>
      <w:bookmarkStart w:id="819" w:name="Tc_UZTUdphvXkW31IvB5XAd-w_4_0"/>
      <w:bookmarkStart w:id="820" w:name="Tc_GwcnW0SkXUex_3BQwA5rIg_3_2"/>
      <w:bookmarkStart w:id="821" w:name="Tc_j2eGdM40zUmY52hdTMQe1w_2_5"/>
      <w:bookmarkStart w:id="822" w:name="Tc_ivPgmYj8qEaWhNbx-YiELw_2_2"/>
      <w:bookmarkStart w:id="823" w:name="Tc_1gRm3txIikGLzN0L7t5tFQ_1_2"/>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b/>
          <w:sz w:val="20"/>
        </w:rPr>
        <w:t>9.</w:t>
      </w:r>
      <w:r>
        <w:rPr>
          <w:rFonts w:ascii="Times New Roman;Times;serif" w:hAnsi="Times New Roman;Times;serif"/>
          <w:b/>
          <w:sz w:val="21"/>
        </w:rPr>
        <w:t>LONG-TERM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debt consisted of the following:</w:t>
      </w:r>
    </w:p>
    <w:p>
      <w:pPr>
        <w:pStyle w:val="TextBody"/>
        <w:bidi w:val="0"/>
        <w:spacing w:before="0" w:after="0"/>
        <w:ind w:left="0" w:right="0" w:hanging="0"/>
        <w:jc w:val="left"/>
        <w:rPr/>
      </w:pPr>
      <w:r>
        <w:rPr/>
        <w:t>​</w:t>
      </w:r>
    </w:p>
    <w:tbl>
      <w:tblPr>
        <w:tblW w:w="9380" w:type="dxa"/>
        <w:jc w:val="left"/>
        <w:tblInd w:w="0" w:type="dxa"/>
        <w:tblLayout w:type="fixed"/>
        <w:tblCellMar>
          <w:top w:w="0" w:type="dxa"/>
          <w:left w:w="0" w:type="dxa"/>
          <w:bottom w:w="0" w:type="dxa"/>
          <w:right w:w="0" w:type="dxa"/>
        </w:tblCellMar>
      </w:tblPr>
      <w:tblGrid>
        <w:gridCol w:w="6016"/>
        <w:gridCol w:w="346"/>
        <w:gridCol w:w="267"/>
        <w:gridCol w:w="859"/>
        <w:gridCol w:w="346"/>
        <w:gridCol w:w="324"/>
        <w:gridCol w:w="1222"/>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820160" cy="175260"/>
                      <wp:effectExtent l="0" t="0" r="0" b="0"/>
                      <wp:wrapNone/>
                      <wp:docPr id="165" name="Frame165"/>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9545" cy="175260"/>
                      <wp:effectExtent l="0" t="0" r="0" b="0"/>
                      <wp:wrapNone/>
                      <wp:docPr id="167" name="Frame16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45465" cy="175260"/>
                      <wp:effectExtent l="0" t="0" r="0" b="0"/>
                      <wp:wrapNone/>
                      <wp:docPr id="168" name="Frame16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5740" cy="175260"/>
                      <wp:effectExtent l="0" t="0" r="0" b="0"/>
                      <wp:wrapNone/>
                      <wp:docPr id="170" name="Frame17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75970" cy="175260"/>
                      <wp:effectExtent l="0" t="0" r="0" b="0"/>
                      <wp:wrapNone/>
                      <wp:docPr id="171" name="Frame171"/>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93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8,822</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notes payable</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 to former dentist shareholders for the redemption of shares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w:t>
            </w:r>
          </w:p>
        </w:tc>
      </w:tr>
      <w:tr>
        <w:trPr/>
        <w:tc>
          <w:tcPr>
            <w:tcW w:w="6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9,137</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10,085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Scheduled principal payments on long-term debt at June 30, 2026, are summarized as follows:</w:t>
      </w:r>
    </w:p>
    <w:p>
      <w:pPr>
        <w:pStyle w:val="TextBody"/>
        <w:bidi w:val="0"/>
        <w:spacing w:before="0" w:after="0"/>
        <w:ind w:left="0" w:right="0" w:hanging="0"/>
        <w:jc w:val="left"/>
        <w:rPr/>
      </w:pPr>
      <w:r>
        <w:rPr/>
        <w:t>​</w:t>
      </w:r>
    </w:p>
    <w:tbl>
      <w:tblPr>
        <w:tblW w:w="2765" w:type="dxa"/>
        <w:jc w:val="left"/>
        <w:tblInd w:w="0" w:type="dxa"/>
        <w:tblLayout w:type="fixed"/>
        <w:tblCellMar>
          <w:top w:w="0" w:type="dxa"/>
          <w:left w:w="0" w:type="dxa"/>
          <w:bottom w:w="0" w:type="dxa"/>
          <w:right w:w="0" w:type="dxa"/>
        </w:tblCellMar>
      </w:tblPr>
      <w:tblGrid>
        <w:gridCol w:w="1486"/>
        <w:gridCol w:w="109"/>
        <w:gridCol w:w="245"/>
        <w:gridCol w:w="925"/>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43610" cy="175260"/>
                      <wp:effectExtent l="0" t="0" r="0" b="0"/>
                      <wp:wrapNone/>
                      <wp:docPr id="172" name="Frame172"/>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5575" cy="175260"/>
                      <wp:effectExtent l="0" t="0" r="0" b="0"/>
                      <wp:wrapNone/>
                      <wp:docPr id="174" name="Frame17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7375" cy="175260"/>
                      <wp:effectExtent l="0" t="0" r="0" b="0"/>
                      <wp:wrapNone/>
                      <wp:docPr id="175" name="Frame175"/>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11,033</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Bank 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maintains a $13,000 term loan that matures in March 2029 and bears interest at a variable rate equal to one-month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2.10%. The loan requires monthly principal payments of $155, with any remaining principal due at maturity, and is secured by all business assets of the Company. The agreement requires, among other things, that we comply with a minimum fixed charge coverage ratio, a total cash flow leverage ratio, and restriction on individual business combinations in excess of specified limits, as defined in the agreement. The Company was in compliance with all debt covenants as of June 30, 2026 and December 31, 2025. Interest expense related to the bank term loan totaled approximately $131 and $196 for the three months ended June 30, 2026 and 2025, respectively, and totaled approximately $267 and $396 for the six months ended June 30, 2026 and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Subordinated Notes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outstanding subordinated notes payable with principal due at maturity and interest payable quarterly through October 1, 2037. Interest on the notes is equal to the greater of (i) 14% of the principal balance, (ii) an amount determined based on a formula using average dentist compensation, or (iii) a formula based on total revenue. The effective interest rate during the three and six months ended June 30, 2026 and 2025 was 24.5%. Of the total subordinated notes payable, $2,012 is payable to various noteholders, including two related parties. These notes are secured by all business assets of the Company and are subordinated to the Company’s bank term loan and line of credit. </w:t>
      </w:r>
      <w:r>
        <w:rPr>
          <w:rFonts w:ascii="TimesNewRoman" w:hAnsi="TimesNewRoman"/>
          <w:sz w:val="20"/>
        </w:rPr>
        <w:t>The notes are also subject to significant prepayment restrictions; prepayment generally requires lender approval, except in limited circumstances involving the death of certain holders. The purchase agreement governing these notes also contains change-of-control provisions.</w:t>
      </w:r>
      <w:r>
        <w:rPr>
          <w:rFonts w:ascii="Times New Roman;Times;serif" w:hAnsi="Times New Roman;Times;serif"/>
          <w:sz w:val="20"/>
        </w:rPr>
        <w:t xml:space="preserve"> Interest expense related to the subordinated debt agreements was approximately $133 and $139 for the three months ended June 30, 2026 and 2025, respectively, and totaled approximately $264 and $276 for the six months ended June 30, 2026 and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Notes Payable – Former Dentist Shareholder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issued notes payable to former dentist shareholders in connection with the redemption of shares occurring prior to the Company’s initial public offering. The notes are payable in equal monthly installments, with 17 payments remaining as of June 30, 2026. Interest is charged at the lesser of (i) 10% or (ii) 1% less than the prime rate published in </w:t>
      </w:r>
      <w:r>
        <w:rPr>
          <w:rFonts w:ascii="Times New Roman;Times;serif" w:hAnsi="Times New Roman;Times;serif"/>
          <w:i/>
          <w:sz w:val="20"/>
        </w:rPr>
        <w:t>The Wall Street Journal</w:t>
      </w:r>
      <w:r>
        <w:rPr>
          <w:rFonts w:ascii="Times New Roman;Times;serif" w:hAnsi="Times New Roman;Times;serif"/>
          <w:sz w:val="20"/>
        </w:rPr>
        <w:t> (Midwest Edition). Total principal payments made on these notes were $19 in the six months ended June 30, 2026. Interest expense related to notes payable to former dentist shareholders was approximately $1 and $2 for the three months ended June 30, 2026 and 2025, respectively, and was approximately $2 and $4 for the six months ended June 30, 2026 and 2025,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10.DEFERRED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Park Dental Partners, Inc. and its affiliated dental practices have four deferred compensation plans. Only the Non-qualified Deferred Compensation Plan is still active, while balances in all other plans have been closed to new participation.</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Deferred Compensation Plans: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Non-qualified Deferred Compensation Plan —</w:t>
      </w:r>
      <w:r>
        <w:rPr>
          <w:rFonts w:ascii="Times New Roman;Times;serif" w:hAnsi="Times New Roman;Times;serif"/>
          <w:sz w:val="20"/>
        </w:rPr>
        <w:t xml:space="preserve"> The non-qualified deferred compensation plan provides participants the opportunity to defer compensation on a pretax basis. Participants are immediately 100% vested in their voluntary deferred compensation contributions. Participant accounts are credited with deferred compensation contributions and subsequent earnings. In addition, we may make discretionary credits to the compensation account of an active participant at any time. There were no discretionary credits deposited in the three and six months ended June 30, 2026. Benefit payments to participants are available upon termination of employment, disability, death, unforeseeable emergencies, a change-in-control event, as defined, or through a qualified in-service distribution with the option to receive payment in a lump sum distribution, or up to five annual installments.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June 30, 2026, the total deferred compensation liability related to the non-qualified plan was $24,949, of which $24,216 was presented as Deferred compensation and $733 as Payroll, benefits and short-term deferred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24" w:name="Narr_ovS6DWeSYEyrqW13UMying"/>
      <w:bookmarkEnd w:id="824"/>
      <w:r>
        <w:rPr>
          <w:rFonts w:ascii="Times New Roman;Times;serif" w:hAnsi="Times New Roman;Times;serif"/>
          <w:sz w:val="20"/>
        </w:rPr>
        <w:t>At December 31, 2025, the total deferred compensation liability related to the non-qualified plan was $22,992, of which $22,297 was presented as Deferred compensation and $695 as Payroll, benefits and short-term deferred compensation.</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Compensation Plans — Inactive: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several deferred compensation plans which have been closed to new participants and service crediting which are described collectively as Deferred Compensation Plans — Inactive.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Professional Employee Compensation Plan (the ‘PEC Plan’) — The PEC Plan provided for a deferred compensation benefit to certain employees of affiliated dental practices in the event of separation from service. The PEC Plan was frozen as of December 31, 2022, and no expense was recognized for this plan since that date. The deferred compensation balance is paid over a period of five years from the date of separation. The maximum amount we will be required to pay under the PEC Plan in each year is capped at 2% of our annual adjusted gross revenue, as defined in the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Equity Accumulation Plan (the ‘Accumulation Plan’) — The Accumulation Plan provided for benefit payments to participants after termination of employment because of death, permanent disability or attainment of age 65. Alternatively, the vested value of the participant’s account is paid following termination of employment at or after age 55 with 20 years of service. The Accumulation Plan was closed to new participants and service crediting on March 1, 2008.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Phantom Equity Plan (‘Phantom Plan’) — The Phantom Plan provided certain clinical and nonclinical leaders with phantom equity awards. The plan provides for participants to receive benefits upon termination of employment, disability, death, a change-in-control event, as defined, or via a qualified in-service distribution election. The plan provides for annual installment payments over five years after separation of service, or upon in-service distribution election. The Phantom Plan was closed to new participants and service crediting or earnings in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June 30, 2026 and December 31, 2025, the total deferred compensation liability related to the phantom equity plan was $1,411 and $1,657, respectively. There was no deferred compensation expense under the agreement in the first six months in 2026 or fiscal 2025, and we do not anticipate any future compensation expense under the Phantom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balance of Deferred compensation – Inactive, which includes the PEC Plan, Accumulation Plan, and the Phantom Plan, was $45,014 at June 30, 2026 and $46,120 at December 31, 2025. The short-term portion has been included in Payroll, benefits, and short-term deferred compensation and totaled $1,668 and $1,457 at June 30, 2026 and December 31, 2025, respectively. Payments made under the Deferred Compensation Plans – Inactive were $289 and $305 for the three months ended June 30, 2026 and 2025, respectively, and were $846 and $682 for the six months ended June 30, 2026 and 2025,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25" w:name="Tc_diR-eeIyIU2XsSZMr1B4YA_10_11"/>
      <w:bookmarkStart w:id="826" w:name="Tc_4-cvFlSpxkG78y-37y_G7w_10_8"/>
      <w:bookmarkStart w:id="827" w:name="Tc_-omMo0Ljqka5XlVlcIqZRQ_10_5"/>
      <w:bookmarkStart w:id="828" w:name="Tc_av3fwsHtk0SQQUW79C5DKA_10_2"/>
      <w:bookmarkStart w:id="829" w:name="Tc_qMsfDdD5NECQwuf88oaNkw_10_0"/>
      <w:bookmarkStart w:id="830" w:name="Tc_zlPQebFrkEaT2u7hCBxqNw_9_0"/>
      <w:bookmarkStart w:id="831" w:name="Tc_DwVtQ5Q_KESN4fdJTxBaRw_8_11"/>
      <w:bookmarkStart w:id="832" w:name="Tc_Ifm8KtHGCUiXUrjn-Np3Mw_8_8"/>
      <w:bookmarkStart w:id="833" w:name="Tc_koiCCCYNJ0yc6etWc-E8Tg_8_5"/>
      <w:bookmarkStart w:id="834" w:name="Tc_lbPAEWecUUKPeDRwvK3wIQ_8_2"/>
      <w:bookmarkStart w:id="835" w:name="Tc_89vEXXiIK0m0L9j24UO54w_8_0"/>
      <w:bookmarkStart w:id="836" w:name="Tc_4lPxW7_Kjk6r9B5S-aP_6g_7_2"/>
      <w:bookmarkStart w:id="837" w:name="Tc_LlgFoJLTGUWTP3Cko8mdSg_6_11"/>
      <w:bookmarkStart w:id="838" w:name="Tc_3UUwIkX_GUytSvujldh-Cw_6_8"/>
      <w:bookmarkStart w:id="839" w:name="Tc_pmWYkHaZR06Umoo7wM8F-w_6_5"/>
      <w:bookmarkStart w:id="840" w:name="Tc_W7_pAPbWk0GSiaUJgtZTIA_6_2"/>
      <w:bookmarkStart w:id="841" w:name="Tc_Ivp-jjzAUkG4ODtAw7Ss0Q_5_11"/>
      <w:bookmarkStart w:id="842" w:name="Tc_HvNYePhQak2z43ETLW477Q_5_8"/>
      <w:bookmarkStart w:id="843" w:name="Tc_XxeW3dNP3U2t6pztQDOuLA_5_5"/>
      <w:bookmarkStart w:id="844" w:name="Tc_YZlMjLtGT0GRpMTiOAJmjg_5_2"/>
      <w:bookmarkStart w:id="845" w:name="Tc_e-ELr2y80k-0iZd7BDNNyA_4_11"/>
      <w:bookmarkStart w:id="846" w:name="Tc_9-vOVn7eKUuzIJ-ZS6mc2w_4_5"/>
      <w:bookmarkStart w:id="847" w:name="Tc_gN81sigbSEyKs_Z-sZ_FFA_4_2"/>
      <w:bookmarkStart w:id="848" w:name="Tc_bb-No5AAbUaSFJ_JwcSp7g_3_2"/>
      <w:bookmarkStart w:id="849" w:name="Tc_n243OzP-xEGAu8x28FnjVA_2_2"/>
      <w:bookmarkStart w:id="850" w:name="Tc_TuSpAog-CkKsq2wSL2Ib4g_1_2"/>
      <w:bookmarkStart w:id="851" w:name="_4cb8a68f_db5d_45c6_86cc_46d46a026770"/>
      <w:bookmarkStart w:id="852" w:name="Tc_0tHE9G57N0SmbVyXkatMnQ_10_11"/>
      <w:bookmarkStart w:id="853" w:name="Tc_3GfcQz5DEE-Ax8JiFuEtng_10_8"/>
      <w:bookmarkStart w:id="854" w:name="Tc_tHmoTtrf8UGJc-n92ceSHA_10_5"/>
      <w:bookmarkStart w:id="855" w:name="Tc_y3cW4cQdyUivZ6hBcJAq8w_10_2"/>
      <w:bookmarkStart w:id="856" w:name="Tc_10rd1mt-HECcka9Dnqp9ow_10_0"/>
      <w:bookmarkStart w:id="857" w:name="Tc_McshsD0Fz0OEPMAbUC5sUA_9_0"/>
      <w:bookmarkStart w:id="858" w:name="Tc_BXjK_hTYKE6s4MOD5n6asQ_8_11"/>
      <w:bookmarkStart w:id="859" w:name="Tc_6oPeoPkTm0W372UWpAAvNg_8_8"/>
      <w:bookmarkStart w:id="860" w:name="Tc_Al0TGWveSUuD25Y0-mTyPg_8_5"/>
      <w:bookmarkStart w:id="861" w:name="Tc_sEoeeVeTTkedFy2IQA-klg_8_2"/>
      <w:bookmarkStart w:id="862" w:name="Tc_xzcb0H8-dU2WwNIlc7UNVQ_8_0"/>
      <w:bookmarkStart w:id="863" w:name="Tc_hnr3iW4qzk68o2M5JEVs5w_7_2"/>
      <w:bookmarkStart w:id="864" w:name="Tc_s45j6ToSXkWvf6ct2QP7Bg_6_11"/>
      <w:bookmarkStart w:id="865" w:name="Tc_Z7x0kYpN5k-d0oFx6SBn1A_6_8"/>
      <w:bookmarkStart w:id="866" w:name="Tc_o1udcRpg0UaM_h55332ZVg_6_5"/>
      <w:bookmarkStart w:id="867" w:name="Tc_xG5awO-_q06mzeaZG2vFng_6_2"/>
      <w:bookmarkStart w:id="868" w:name="Tc_wd7xbH-jREOv24RM_V2oTA_5_11"/>
      <w:bookmarkStart w:id="869" w:name="Tc_1DdEwUnnJEusT8GF_q925A_5_8"/>
      <w:bookmarkStart w:id="870" w:name="Tc_813fUoq-G0aujWktc7GBJw_5_5"/>
      <w:bookmarkStart w:id="871" w:name="Tc_lAfC1jlz-Umdyogct01XNw_5_2"/>
      <w:bookmarkStart w:id="872" w:name="Tc_JQxv_DzxI0u2F4rlF5QzPw_4_11"/>
      <w:bookmarkStart w:id="873" w:name="Tc_BMd8rDmivkSIsq0q-EK-9w_4_5"/>
      <w:bookmarkStart w:id="874" w:name="Tc_BgMLqqpvK0qA7UnX0pMS_g_4_2"/>
      <w:bookmarkStart w:id="875" w:name="Tc_j8yPLmnx70mpKohM4tV-3A_3_2"/>
      <w:bookmarkStart w:id="876" w:name="Tc_piNfEkovnEuB-sAZrGkw4A_2_2"/>
      <w:bookmarkStart w:id="877" w:name="Tc_wSzKMvYHVUSTLG4BAxckfg_1_2"/>
      <w:bookmarkStart w:id="878" w:name="_2e83c467_0fd3_450d_b20f_b8e38de2303d"/>
      <w:bookmarkStart w:id="879" w:name="Tc_diR-eeIyIU2XsSZMr1B4YA_10_11"/>
      <w:bookmarkStart w:id="880" w:name="Tc_4-cvFlSpxkG78y-37y_G7w_10_8"/>
      <w:bookmarkStart w:id="881" w:name="Tc_-omMo0Ljqka5XlVlcIqZRQ_10_5"/>
      <w:bookmarkStart w:id="882" w:name="Tc_av3fwsHtk0SQQUW79C5DKA_10_2"/>
      <w:bookmarkStart w:id="883" w:name="Tc_qMsfDdD5NECQwuf88oaNkw_10_0"/>
      <w:bookmarkStart w:id="884" w:name="Tc_zlPQebFrkEaT2u7hCBxqNw_9_0"/>
      <w:bookmarkStart w:id="885" w:name="Tc_DwVtQ5Q_KESN4fdJTxBaRw_8_11"/>
      <w:bookmarkStart w:id="886" w:name="Tc_Ifm8KtHGCUiXUrjn-Np3Mw_8_8"/>
      <w:bookmarkStart w:id="887" w:name="Tc_koiCCCYNJ0yc6etWc-E8Tg_8_5"/>
      <w:bookmarkStart w:id="888" w:name="Tc_lbPAEWecUUKPeDRwvK3wIQ_8_2"/>
      <w:bookmarkStart w:id="889" w:name="Tc_89vEXXiIK0m0L9j24UO54w_8_0"/>
      <w:bookmarkStart w:id="890" w:name="Tc_4lPxW7_Kjk6r9B5S-aP_6g_7_2"/>
      <w:bookmarkStart w:id="891" w:name="Tc_LlgFoJLTGUWTP3Cko8mdSg_6_11"/>
      <w:bookmarkStart w:id="892" w:name="Tc_3UUwIkX_GUytSvujldh-Cw_6_8"/>
      <w:bookmarkStart w:id="893" w:name="Tc_pmWYkHaZR06Umoo7wM8F-w_6_5"/>
      <w:bookmarkStart w:id="894" w:name="Tc_W7_pAPbWk0GSiaUJgtZTIA_6_2"/>
      <w:bookmarkStart w:id="895" w:name="Tc_Ivp-jjzAUkG4ODtAw7Ss0Q_5_11"/>
      <w:bookmarkStart w:id="896" w:name="Tc_HvNYePhQak2z43ETLW477Q_5_8"/>
      <w:bookmarkStart w:id="897" w:name="Tc_XxeW3dNP3U2t6pztQDOuLA_5_5"/>
      <w:bookmarkStart w:id="898" w:name="Tc_YZlMjLtGT0GRpMTiOAJmjg_5_2"/>
      <w:bookmarkStart w:id="899" w:name="Tc_e-ELr2y80k-0iZd7BDNNyA_4_11"/>
      <w:bookmarkStart w:id="900" w:name="Tc_9-vOVn7eKUuzIJ-ZS6mc2w_4_5"/>
      <w:bookmarkStart w:id="901" w:name="Tc_gN81sigbSEyKs_Z-sZ_FFA_4_2"/>
      <w:bookmarkStart w:id="902" w:name="Tc_bb-No5AAbUaSFJ_JwcSp7g_3_2"/>
      <w:bookmarkStart w:id="903" w:name="Tc_n243OzP-xEGAu8x28FnjVA_2_2"/>
      <w:bookmarkStart w:id="904" w:name="Tc_TuSpAog-CkKsq2wSL2Ib4g_1_2"/>
      <w:bookmarkStart w:id="905" w:name="_4cb8a68f_db5d_45c6_86cc_46d46a026770"/>
      <w:bookmarkStart w:id="906" w:name="Tc_0tHE9G57N0SmbVyXkatMnQ_10_11"/>
      <w:bookmarkStart w:id="907" w:name="Tc_3GfcQz5DEE-Ax8JiFuEtng_10_8"/>
      <w:bookmarkStart w:id="908" w:name="Tc_tHmoTtrf8UGJc-n92ceSHA_10_5"/>
      <w:bookmarkStart w:id="909" w:name="Tc_y3cW4cQdyUivZ6hBcJAq8w_10_2"/>
      <w:bookmarkStart w:id="910" w:name="Tc_10rd1mt-HECcka9Dnqp9ow_10_0"/>
      <w:bookmarkStart w:id="911" w:name="Tc_McshsD0Fz0OEPMAbUC5sUA_9_0"/>
      <w:bookmarkStart w:id="912" w:name="Tc_BXjK_hTYKE6s4MOD5n6asQ_8_11"/>
      <w:bookmarkStart w:id="913" w:name="Tc_6oPeoPkTm0W372UWpAAvNg_8_8"/>
      <w:bookmarkStart w:id="914" w:name="Tc_Al0TGWveSUuD25Y0-mTyPg_8_5"/>
      <w:bookmarkStart w:id="915" w:name="Tc_sEoeeVeTTkedFy2IQA-klg_8_2"/>
      <w:bookmarkStart w:id="916" w:name="Tc_xzcb0H8-dU2WwNIlc7UNVQ_8_0"/>
      <w:bookmarkStart w:id="917" w:name="Tc_hnr3iW4qzk68o2M5JEVs5w_7_2"/>
      <w:bookmarkStart w:id="918" w:name="Tc_s45j6ToSXkWvf6ct2QP7Bg_6_11"/>
      <w:bookmarkStart w:id="919" w:name="Tc_Z7x0kYpN5k-d0oFx6SBn1A_6_8"/>
      <w:bookmarkStart w:id="920" w:name="Tc_o1udcRpg0UaM_h55332ZVg_6_5"/>
      <w:bookmarkStart w:id="921" w:name="Tc_xG5awO-_q06mzeaZG2vFng_6_2"/>
      <w:bookmarkStart w:id="922" w:name="Tc_wd7xbH-jREOv24RM_V2oTA_5_11"/>
      <w:bookmarkStart w:id="923" w:name="Tc_1DdEwUnnJEusT8GF_q925A_5_8"/>
      <w:bookmarkStart w:id="924" w:name="Tc_813fUoq-G0aujWktc7GBJw_5_5"/>
      <w:bookmarkStart w:id="925" w:name="Tc_lAfC1jlz-Umdyogct01XNw_5_2"/>
      <w:bookmarkStart w:id="926" w:name="Tc_JQxv_DzxI0u2F4rlF5QzPw_4_11"/>
      <w:bookmarkStart w:id="927" w:name="Tc_BMd8rDmivkSIsq0q-EK-9w_4_5"/>
      <w:bookmarkStart w:id="928" w:name="Tc_BgMLqqpvK0qA7UnX0pMS_g_4_2"/>
      <w:bookmarkStart w:id="929" w:name="Tc_j8yPLmnx70mpKohM4tV-3A_3_2"/>
      <w:bookmarkStart w:id="930" w:name="Tc_piNfEkovnEuB-sAZrGkw4A_2_2"/>
      <w:bookmarkStart w:id="931" w:name="Tc_wSzKMvYHVUSTLG4BAxckfg_1_2"/>
      <w:bookmarkStart w:id="932" w:name="_2e83c467_0fd3_450d_b20f_b8e38de2303d"/>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tbl>
      <w:tblPr>
        <w:tblW w:w="10205" w:type="dxa"/>
        <w:jc w:val="left"/>
        <w:tblInd w:w="0" w:type="dxa"/>
        <w:tblLayout w:type="fixed"/>
        <w:tblCellMar>
          <w:top w:w="0" w:type="dxa"/>
          <w:left w:w="0" w:type="dxa"/>
          <w:bottom w:w="0" w:type="dxa"/>
          <w:right w:w="0" w:type="dxa"/>
        </w:tblCellMar>
      </w:tblPr>
      <w:tblGrid>
        <w:gridCol w:w="3972"/>
        <w:gridCol w:w="346"/>
        <w:gridCol w:w="270"/>
        <w:gridCol w:w="871"/>
        <w:gridCol w:w="346"/>
        <w:gridCol w:w="299"/>
        <w:gridCol w:w="812"/>
        <w:gridCol w:w="346"/>
        <w:gridCol w:w="250"/>
        <w:gridCol w:w="678"/>
        <w:gridCol w:w="346"/>
        <w:gridCol w:w="349"/>
        <w:gridCol w:w="1320"/>
      </w:tblGrid>
      <w:tr>
        <w:trPr/>
        <w:tc>
          <w:tcPr>
            <w:tcW w:w="3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22220" cy="175260"/>
                      <wp:effectExtent l="0" t="0" r="0" b="0"/>
                      <wp:wrapNone/>
                      <wp:docPr id="176" name="Frame176"/>
                      <a:graphic xmlns:a="http://schemas.openxmlformats.org/drawingml/2006/main">
                        <a:graphicData uri="http://schemas.microsoft.com/office/word/2010/wordprocessingShape">
                          <wps:wsp>
                            <wps:cNvSpPr txBox="1"/>
                            <wps:spPr>
                              <a:xfrm>
                                <a:off x="0" y="0"/>
                                <a:ext cx="2522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1450" cy="175260"/>
                      <wp:effectExtent l="0" t="0" r="0" b="0"/>
                      <wp:wrapNone/>
                      <wp:docPr id="178" name="Frame17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53085" cy="175260"/>
                      <wp:effectExtent l="0" t="0" r="0" b="0"/>
                      <wp:wrapNone/>
                      <wp:docPr id="179" name="Frame17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9865" cy="175260"/>
                      <wp:effectExtent l="0" t="0" r="0" b="0"/>
                      <wp:wrapNone/>
                      <wp:docPr id="181" name="Frame18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15620" cy="175260"/>
                      <wp:effectExtent l="0" t="0" r="0" b="0"/>
                      <wp:wrapNone/>
                      <wp:docPr id="182" name="Frame18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58750" cy="175260"/>
                      <wp:effectExtent l="0" t="0" r="0" b="0"/>
                      <wp:wrapNone/>
                      <wp:docPr id="184" name="Frame18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0530" cy="175260"/>
                      <wp:effectExtent l="0" t="0" r="0" b="0"/>
                      <wp:wrapNone/>
                      <wp:docPr id="185" name="Frame185"/>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1615" cy="175260"/>
                      <wp:effectExtent l="0" t="0" r="0" b="0"/>
                      <wp:wrapNone/>
                      <wp:docPr id="187" name="Frame18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38200" cy="175260"/>
                      <wp:effectExtent l="0" t="0" r="0" b="0"/>
                      <wp:wrapNone/>
                      <wp:docPr id="188" name="Frame188"/>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8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 Compensation – Inactive</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8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center"/>
              <w:rPr/>
            </w:pPr>
            <w:r>
              <w:rPr/>
              <w:t>​</w:t>
            </w:r>
          </w:p>
        </w:tc>
        <w:tc>
          <w:tcPr>
            <w:tcW w:w="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1320" w:type="dxa"/>
            <w:tcBorders/>
            <w:vAlign w:val="center"/>
          </w:tcPr>
          <w:p>
            <w:pPr>
              <w:pStyle w:val="TableContents"/>
              <w:bidi w:val="0"/>
              <w:spacing w:before="0" w:after="0"/>
              <w:ind w:left="0" w:right="0" w:hanging="0"/>
              <w:jc w:val="center"/>
              <w:rPr/>
            </w:pPr>
            <w:r>
              <w:rPr/>
              <w:t>​</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Accumulation</w:t>
            </w:r>
          </w:p>
        </w:tc>
        <w:tc>
          <w:tcPr>
            <w:tcW w:w="346" w:type="dxa"/>
            <w:tcBorders/>
            <w:vAlign w:val="center"/>
          </w:tcPr>
          <w:p>
            <w:pPr>
              <w:pStyle w:val="TableContents"/>
              <w:bidi w:val="0"/>
              <w:spacing w:before="0" w:after="0"/>
              <w:ind w:left="0" w:right="0" w:hanging="0"/>
              <w:jc w:val="center"/>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Phantom</w:t>
            </w:r>
          </w:p>
        </w:tc>
        <w:tc>
          <w:tcPr>
            <w:tcW w:w="346" w:type="dxa"/>
            <w:tcBorders/>
            <w:vAlign w:val="center"/>
          </w:tcPr>
          <w:p>
            <w:pPr>
              <w:pStyle w:val="TableContents"/>
              <w:bidi w:val="0"/>
              <w:spacing w:before="0" w:after="0"/>
              <w:ind w:left="0" w:right="0" w:hanging="0"/>
              <w:jc w:val="center"/>
              <w:rPr/>
            </w:pPr>
            <w:r>
              <w:rPr/>
              <w:t>​</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 – </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Plan</w:t>
            </w:r>
          </w:p>
        </w:tc>
        <w:tc>
          <w:tcPr>
            <w:tcW w:w="346" w:type="dxa"/>
            <w:tcBorders/>
            <w:vAlign w:val="center"/>
          </w:tcPr>
          <w:p>
            <w:pPr>
              <w:pStyle w:val="TableContents"/>
              <w:bidi w:val="0"/>
              <w:spacing w:before="0" w:after="0"/>
              <w:ind w:left="0" w:right="0" w:hanging="0"/>
              <w:jc w:val="center"/>
              <w:rPr/>
            </w:pPr>
            <w:r>
              <w:rPr/>
              <w:t>  ​ ​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Inactive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8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42,753</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45,014</w:t>
            </w:r>
          </w:p>
        </w:tc>
      </w:tr>
      <w:tr>
        <w:trPr/>
        <w:tc>
          <w:tcPr>
            <w:tcW w:w="3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short-term deferred compensation</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3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44,053</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46,682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72"/>
        <w:gridCol w:w="346"/>
        <w:gridCol w:w="270"/>
        <w:gridCol w:w="871"/>
        <w:gridCol w:w="346"/>
        <w:gridCol w:w="299"/>
        <w:gridCol w:w="812"/>
        <w:gridCol w:w="346"/>
        <w:gridCol w:w="250"/>
        <w:gridCol w:w="678"/>
        <w:gridCol w:w="346"/>
        <w:gridCol w:w="349"/>
        <w:gridCol w:w="1320"/>
      </w:tblGrid>
      <w:tr>
        <w:trPr/>
        <w:tc>
          <w:tcPr>
            <w:tcW w:w="3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22220" cy="175260"/>
                      <wp:effectExtent l="0" t="0" r="0" b="0"/>
                      <wp:wrapNone/>
                      <wp:docPr id="189" name="Frame189"/>
                      <a:graphic xmlns:a="http://schemas.openxmlformats.org/drawingml/2006/main">
                        <a:graphicData uri="http://schemas.microsoft.com/office/word/2010/wordprocessingShape">
                          <wps:wsp>
                            <wps:cNvSpPr txBox="1"/>
                            <wps:spPr>
                              <a:xfrm>
                                <a:off x="0" y="0"/>
                                <a:ext cx="2522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1450" cy="175260"/>
                      <wp:effectExtent l="0" t="0" r="0" b="0"/>
                      <wp:wrapNone/>
                      <wp:docPr id="191" name="Frame19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53085" cy="175260"/>
                      <wp:effectExtent l="0" t="0" r="0" b="0"/>
                      <wp:wrapNone/>
                      <wp:docPr id="192" name="Frame19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9865" cy="175260"/>
                      <wp:effectExtent l="0" t="0" r="0" b="0"/>
                      <wp:wrapNone/>
                      <wp:docPr id="194" name="Frame1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15620" cy="175260"/>
                      <wp:effectExtent l="0" t="0" r="0" b="0"/>
                      <wp:wrapNone/>
                      <wp:docPr id="195" name="Frame195"/>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8750" cy="175260"/>
                      <wp:effectExtent l="0" t="0" r="0" b="0"/>
                      <wp:wrapNone/>
                      <wp:docPr id="197" name="Frame19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0530" cy="175260"/>
                      <wp:effectExtent l="0" t="0" r="0" b="0"/>
                      <wp:wrapNone/>
                      <wp:docPr id="198" name="Frame19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1615" cy="175260"/>
                      <wp:effectExtent l="0" t="0" r="0" b="0"/>
                      <wp:wrapNone/>
                      <wp:docPr id="200" name="Frame20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38200" cy="175260"/>
                      <wp:effectExtent l="0" t="0" r="0" b="0"/>
                      <wp:wrapNone/>
                      <wp:docPr id="201" name="Frame201"/>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8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 Compensation – Inactive</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8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center"/>
              <w:rPr/>
            </w:pPr>
            <w:r>
              <w:rPr/>
              <w:t>​</w:t>
            </w:r>
          </w:p>
        </w:tc>
        <w:tc>
          <w:tcPr>
            <w:tcW w:w="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1320" w:type="dxa"/>
            <w:tcBorders/>
            <w:vAlign w:val="center"/>
          </w:tcPr>
          <w:p>
            <w:pPr>
              <w:pStyle w:val="TableContents"/>
              <w:bidi w:val="0"/>
              <w:spacing w:before="0" w:after="0"/>
              <w:ind w:left="0" w:right="0" w:hanging="0"/>
              <w:jc w:val="center"/>
              <w:rPr/>
            </w:pPr>
            <w:r>
              <w:rPr/>
              <w:t>​</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Accumulation</w:t>
            </w:r>
          </w:p>
        </w:tc>
        <w:tc>
          <w:tcPr>
            <w:tcW w:w="346" w:type="dxa"/>
            <w:tcBorders/>
            <w:vAlign w:val="center"/>
          </w:tcPr>
          <w:p>
            <w:pPr>
              <w:pStyle w:val="TableContents"/>
              <w:bidi w:val="0"/>
              <w:spacing w:before="0" w:after="0"/>
              <w:ind w:left="0" w:right="0" w:hanging="0"/>
              <w:jc w:val="center"/>
              <w:rPr/>
            </w:pPr>
            <w:r>
              <w:rPr/>
              <w:t>​</w:t>
            </w:r>
          </w:p>
        </w:tc>
        <w:tc>
          <w:tcPr>
            <w:tcW w:w="9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Phantom</w:t>
            </w:r>
          </w:p>
        </w:tc>
        <w:tc>
          <w:tcPr>
            <w:tcW w:w="346" w:type="dxa"/>
            <w:tcBorders/>
            <w:vAlign w:val="center"/>
          </w:tcPr>
          <w:p>
            <w:pPr>
              <w:pStyle w:val="TableContents"/>
              <w:bidi w:val="0"/>
              <w:spacing w:before="0" w:after="0"/>
              <w:ind w:left="0" w:right="0" w:hanging="0"/>
              <w:jc w:val="center"/>
              <w:rPr/>
            </w:pPr>
            <w:r>
              <w:rPr/>
              <w:t>​</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 – </w:t>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0"/>
              <w:ind w:left="0" w:right="0" w:hanging="0"/>
              <w:jc w:val="center"/>
              <w:rPr/>
            </w:pPr>
            <w:r>
              <w:rPr/>
              <w:t>  ​ ​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Plan</w:t>
            </w:r>
          </w:p>
        </w:tc>
        <w:tc>
          <w:tcPr>
            <w:tcW w:w="346" w:type="dxa"/>
            <w:tcBorders/>
            <w:vAlign w:val="center"/>
          </w:tcPr>
          <w:p>
            <w:pPr>
              <w:pStyle w:val="TableContents"/>
              <w:bidi w:val="0"/>
              <w:spacing w:before="0" w:after="0"/>
              <w:ind w:left="0" w:right="0" w:hanging="0"/>
              <w:jc w:val="center"/>
              <w:rPr/>
            </w:pPr>
            <w:r>
              <w:rPr/>
              <w:t>  ​ ​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Inactive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8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46,120</w:t>
            </w:r>
          </w:p>
        </w:tc>
      </w:tr>
      <w:tr>
        <w:trPr/>
        <w:tc>
          <w:tcPr>
            <w:tcW w:w="3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short-term deferred compensation</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3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47,577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bookmarkStart w:id="933" w:name="Tc_qKrAAMNihEK_NYecR7Pv2A_4_0"/>
      <w:bookmarkStart w:id="934" w:name="Tc_nDWDtSEUcUaKDAq2FdxCIQ_3_4"/>
      <w:bookmarkStart w:id="935" w:name="Tc__Cn6as3a8kihVFDbASmWqw_3_2"/>
      <w:bookmarkStart w:id="936" w:name="Tc_hodroh17OkS_KnlVosrcsg_2_2"/>
      <w:bookmarkEnd w:id="933"/>
      <w:bookmarkEnd w:id="934"/>
      <w:bookmarkEnd w:id="935"/>
      <w:bookmarkEnd w:id="936"/>
      <w:r>
        <w:rPr>
          <w:rFonts w:ascii="Times New Roman;Times;serif" w:hAnsi="Times New Roman;Times;serif"/>
          <w:b/>
          <w:sz w:val="20"/>
        </w:rPr>
        <w:t>11.SHAREHOLDERS’ EQUITY (DEFICIT)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Park Dental Partners, Inc. shares are comprised of 100 million Common shares, and 5 million Preferred shares. All stock has a par value of $0.0001 per share. As of June 30, 2026, only Common shares are outstanding. Each holder of common stock and certain restricted shares is entitled to one vote for each share of Common stock and restricted share awards held.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stock units granted commencing in June 2026 do not carry voting rights unless and until settled in shares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initial public offering completed on December 4, 2025, the Company issued warrants to the underwriter’s representative to purchase up to 92,100 shares of common stock at an exercise price of $15.60 per share. On July 13, 2026, the underwriters exercised all outstanding warrants on a cashless basis. As a result, the Company issued 22,483 shares of common stock to the underwriters. There were no outstanding warrants remaining subsequent to the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unrestricted common shares outstanding:</w:t>
      </w:r>
    </w:p>
    <w:p>
      <w:pPr>
        <w:pStyle w:val="TextBody"/>
        <w:bidi w:val="0"/>
        <w:spacing w:before="0" w:after="0"/>
        <w:ind w:left="0" w:right="0" w:hanging="0"/>
        <w:jc w:val="left"/>
        <w:rPr/>
      </w:pPr>
      <w:r>
        <w:rPr/>
        <w:t>​</w:t>
      </w:r>
    </w:p>
    <w:tbl>
      <w:tblPr>
        <w:tblW w:w="6060" w:type="dxa"/>
        <w:jc w:val="left"/>
        <w:tblInd w:w="0" w:type="dxa"/>
        <w:tblLayout w:type="fixed"/>
        <w:tblCellMar>
          <w:top w:w="0" w:type="dxa"/>
          <w:left w:w="0" w:type="dxa"/>
          <w:bottom w:w="0" w:type="dxa"/>
          <w:right w:w="0" w:type="dxa"/>
        </w:tblCellMar>
      </w:tblPr>
      <w:tblGrid>
        <w:gridCol w:w="2896"/>
        <w:gridCol w:w="146"/>
        <w:gridCol w:w="1126"/>
        <w:gridCol w:w="346"/>
        <w:gridCol w:w="640"/>
        <w:gridCol w:w="9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38960" cy="175260"/>
                      <wp:effectExtent l="0" t="0" r="0" b="0"/>
                      <wp:wrapNone/>
                      <wp:docPr id="202" name="Frame20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2710" cy="175260"/>
                      <wp:effectExtent l="0" t="0" r="0" b="0"/>
                      <wp:wrapNone/>
                      <wp:docPr id="203" name="Frame2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15010" cy="175260"/>
                      <wp:effectExtent l="0" t="0" r="0" b="0"/>
                      <wp:wrapNone/>
                      <wp:docPr id="204" name="Frame20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6400" cy="175260"/>
                      <wp:effectExtent l="0" t="0" r="0" b="0"/>
                      <wp:wrapNone/>
                      <wp:docPr id="206" name="Frame20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75310" cy="175260"/>
                      <wp:effectExtent l="0" t="0" r="0" b="0"/>
                      <wp:wrapNone/>
                      <wp:docPr id="207" name="Frame20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0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89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unrestricted shares</w:t>
            </w:r>
          </w:p>
        </w:tc>
        <w:tc>
          <w:tcPr>
            <w:tcW w:w="146" w:type="dxa"/>
            <w:tcBorders/>
            <w:shd w:fill="CCEEFF" w:val="cle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4,704,780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4,247,018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Restricted shares (“RSs”) — </w:t>
      </w:r>
      <w:r>
        <w:rPr>
          <w:rFonts w:ascii="Times New Roman;Times;serif" w:hAnsi="Times New Roman;Times;serif"/>
          <w:sz w:val="20"/>
        </w:rPr>
        <w:t>Restricted Park Dental Partners, Inc. shares issued prior to our initial public offering (“IPO”) vested 25% upon the closing of our public offering on December 4, 2025, with the remaining awards vesting at the rate of 6.25% each calendar quarter over the subsequent 12 quarters. In the event of a change in control, the restricted shares shall vest immediately upon the change in control. As it relates to awards issued prior to the IPO, the Company treats each vesting tranche as a separate award, and recognizes compensation cost for each tranche independently over its specific vesting period. This approach results in accelerated compensation expense recognition, as earlier-vesting tranches are recognized more quickly than later-vesting tranches.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37" w:name="Tc_zhryM6bUeEK1Ehm_bqXLUA_6_0"/>
      <w:bookmarkStart w:id="938" w:name="Tc_F6M4Cte4RkK6Z1w7Pyw_iw_5_0"/>
      <w:bookmarkStart w:id="939" w:name="Tc_w8RtdZg_DkCM_5NauJn4sA_4_0"/>
      <w:bookmarkStart w:id="940" w:name="Tc_KNsMo1tte0qzhSPkSAgkfw_3_2"/>
      <w:bookmarkStart w:id="941" w:name="Tc_7nPtqfa-D0Whls-_H2Uktg_2_2"/>
      <w:bookmarkStart w:id="942" w:name="Tc_TBdWcSEO2E2EF_Q6BgLWMw_1_2"/>
      <w:bookmarkStart w:id="943" w:name="_073caeb4_71db_4694_be48_d328e9e5b24d"/>
      <w:bookmarkStart w:id="944" w:name="Tc_HwxY3ey7kEab7VVNBnu9tQ_9_4"/>
      <w:bookmarkStart w:id="945" w:name="Tc_XIaDEp3IUEalwd_xd2kz9g_9_0"/>
      <w:bookmarkStart w:id="946" w:name="Tc_JKToQqKhoU2HTTgRiIdV0Q_8_0"/>
      <w:bookmarkStart w:id="947" w:name="Tc_72rvXhgyTEyLtMWwAnebWg_7_0"/>
      <w:bookmarkStart w:id="948" w:name="Tc_GdzDa_Dd7kalbTPTKrzbpA_6_0"/>
      <w:bookmarkStart w:id="949" w:name="Tc_qTI6Lq6dFkCO5DuL9KOjvg_5_0"/>
      <w:bookmarkStart w:id="950" w:name="Tc_FYnPztsRbEalaWNrhG7Lwg_4_2"/>
      <w:bookmarkStart w:id="951" w:name="Tc_jOM_5WbCMU6lXXbgJ9OcVg_3_4"/>
      <w:bookmarkStart w:id="952" w:name="Tc_XXUT4_lWYkGz3ZmkqbhIYw_3_2"/>
      <w:bookmarkStart w:id="953" w:name="Tc_PbHwM6ZHLUq5aqmwzBgRbA_2_4"/>
      <w:bookmarkStart w:id="954" w:name="Tc_7rtN2qrkEE2k32XNgiVRsg_2_2"/>
      <w:bookmarkStart w:id="955" w:name="Tc_HB0Ieuw0g0ut804De_0x5Q_1_4"/>
      <w:bookmarkStart w:id="956" w:name="_103ac447_e2ee_4354_be72_1d7cc1f629df"/>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Times New Roman;Times;serif" w:hAnsi="Times New Roman;Times;serif"/>
          <w:sz w:val="20"/>
        </w:rPr>
        <w:t xml:space="preserve">Subsequent to our IPO we have changed our accounting policy regarding the vesting of restricted share awards. As a result of this policy change, share based compensation related to those awards granted after our IPO is recognized using the straight-line recognition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stock awards granted after the IPO and before June 2026 vest at the rate of 25% annually over four years. Beginning in June 2026, the Company granted restricted stock units (“RSUs”), which also vest at the rate of 25% annually over four years. Share-based compensation expense for these post-IPO awards is recognized on a straight-line basis over the applicable requisite service period. We believe this method is preferable, as it results in the Company recognizing the total grant-date fair value of the award ratably as compensation expense over the vesting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in unvested restricted stock awards and RSUs for the six months ended June 30, 2026:</w:t>
      </w:r>
    </w:p>
    <w:tbl>
      <w:tblPr>
        <w:tblW w:w="5355" w:type="dxa"/>
        <w:jc w:val="left"/>
        <w:tblInd w:w="0" w:type="dxa"/>
        <w:tblLayout w:type="fixed"/>
        <w:tblCellMar>
          <w:top w:w="0" w:type="dxa"/>
          <w:left w:w="0" w:type="dxa"/>
          <w:bottom w:w="0" w:type="dxa"/>
          <w:right w:w="0" w:type="dxa"/>
        </w:tblCellMar>
      </w:tblPr>
      <w:tblGrid>
        <w:gridCol w:w="2416"/>
        <w:gridCol w:w="146"/>
        <w:gridCol w:w="1126"/>
        <w:gridCol w:w="346"/>
        <w:gridCol w:w="335"/>
        <w:gridCol w:w="98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34160" cy="175260"/>
                      <wp:effectExtent l="0" t="0" r="0" b="0"/>
                      <wp:wrapNone/>
                      <wp:docPr id="208" name="Frame208"/>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710" cy="175260"/>
                      <wp:effectExtent l="0" t="0" r="0" b="0"/>
                      <wp:wrapNone/>
                      <wp:docPr id="209" name="Frame2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15010" cy="175260"/>
                      <wp:effectExtent l="0" t="0" r="0" b="0"/>
                      <wp:wrapNone/>
                      <wp:docPr id="210" name="Frame21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2725" cy="175260"/>
                      <wp:effectExtent l="0" t="0" r="0" b="0"/>
                      <wp:wrapNone/>
                      <wp:docPr id="212" name="Frame21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26110" cy="175260"/>
                      <wp:effectExtent l="0" t="0" r="0" b="0"/>
                      <wp:wrapNone/>
                      <wp:docPr id="213" name="Frame213"/>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4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4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RSs</w:t>
            </w:r>
          </w:p>
        </w:tc>
        <w:tc>
          <w:tcPr>
            <w:tcW w:w="346" w:type="dxa"/>
            <w:tcBorders/>
            <w:vAlign w:val="center"/>
          </w:tcPr>
          <w:p>
            <w:pPr>
              <w:pStyle w:val="TableContents"/>
              <w:bidi w:val="0"/>
              <w:spacing w:before="0" w:after="0"/>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4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awards - January 1</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RSs and RSUs granted</w:t>
            </w:r>
          </w:p>
        </w:tc>
        <w:tc>
          <w:tcPr>
            <w:tcW w:w="1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Awards vested</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Awards forfeited</w:t>
            </w:r>
          </w:p>
        </w:tc>
        <w:tc>
          <w:tcPr>
            <w:tcW w:w="1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awards - June 30</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mix of unvested restricted stock awards and restricted stock units outstanding as of June 30, 2026:</w:t>
      </w:r>
    </w:p>
    <w:tbl>
      <w:tblPr>
        <w:tblW w:w="3291" w:type="dxa"/>
        <w:jc w:val="left"/>
        <w:tblInd w:w="0" w:type="dxa"/>
        <w:tblLayout w:type="fixed"/>
        <w:tblCellMar>
          <w:top w:w="0" w:type="dxa"/>
          <w:left w:w="0" w:type="dxa"/>
          <w:bottom w:w="0" w:type="dxa"/>
          <w:right w:w="0" w:type="dxa"/>
        </w:tblCellMar>
      </w:tblPr>
      <w:tblGrid>
        <w:gridCol w:w="2011"/>
        <w:gridCol w:w="109"/>
        <w:gridCol w:w="117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76985" cy="175260"/>
                      <wp:effectExtent l="0" t="0" r="0" b="0"/>
                      <wp:wrapNone/>
                      <wp:docPr id="214" name="Frame21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43585" cy="175260"/>
                      <wp:effectExtent l="0" t="0" r="0" b="0"/>
                      <wp:wrapNone/>
                      <wp:docPr id="216" name="Frame21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RSs</w: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awards</w:t>
            </w:r>
          </w:p>
        </w:tc>
        <w:tc>
          <w:tcPr>
            <w:tcW w:w="109"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109"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2,184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Unrecognized compensation expense related to outstanding restricted stock awards and restricted stock units at June 30, 2026 was approximately $11,214.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Unrestricted Stock Grant —</w:t>
      </w:r>
      <w:r>
        <w:rPr>
          <w:rFonts w:ascii="Times New Roman;Times;serif" w:hAnsi="Times New Roman;Times;serif"/>
          <w:sz w:val="20"/>
        </w:rPr>
        <w:t>There were no unrestricted stock grants made during the three and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Employee Stock Purchase Plan (“ESPP”)</w:t>
      </w:r>
      <w:r>
        <w:rPr>
          <w:rFonts w:ascii="Times New Roman;Times;serif" w:hAnsi="Times New Roman;Times;serif"/>
          <w:sz w:val="20"/>
        </w:rPr>
        <w:t xml:space="preserve"> — The Company maintains an Employee Stock Purchase Plan that allows eligible employees to purchase shares of common stock at a discount through payroll deductions over offering periods. The ESPP was approved in 2025, and up to 250,000 shares of common stock are reserved for issuance under the plan. No shares were issued under the ESPP during the three and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Subsequent to June 30, 2026, the Company issued 28,019 shares of common stock at $17.71 per share under the ESPP for the offering period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left"/>
        <w:rPr>
          <w:rFonts w:ascii="Times New Roman;Times;serif" w:hAnsi="Times New Roman;Times;serif"/>
          <w:b/>
          <w:sz w:val="20"/>
        </w:rPr>
      </w:pPr>
      <w:bookmarkStart w:id="957" w:name="Tc_z6qZr66UmEWTrISYCLMPPg_12_9"/>
      <w:bookmarkStart w:id="958" w:name="Tc_2gb-A32SyUiIe6A9wOA0xA_12_3"/>
      <w:bookmarkStart w:id="959" w:name="Tc_-NXwEuSWX02MUv3rqS31bA_12_0"/>
      <w:bookmarkStart w:id="960" w:name="Tc_ShL5EuDCXE2-d5UeKqPGiQ_11_0"/>
      <w:bookmarkStart w:id="961" w:name="Tc_-e7HZnH1UU-1Kd858CaR9A_10_12"/>
      <w:bookmarkStart w:id="962" w:name="Tc_QPwie-7qDk2xTywjtFzyMw_10_6"/>
      <w:bookmarkStart w:id="963" w:name="Tc_aTNK6qlSKEyQxVBXXzjYsg_10_0"/>
      <w:bookmarkStart w:id="964" w:name="Tc_wgmo3kwH00aG6zoVNPIMLQ_9_0"/>
      <w:bookmarkStart w:id="965" w:name="Tc__wVDsGX1gUOPmcKasHNzDA_8_11"/>
      <w:bookmarkStart w:id="966" w:name="Tc_ioM7CfYdjESr1t0qmb7isQ_8_8"/>
      <w:bookmarkStart w:id="967" w:name="Tc_RNd5q_cqnUyFJruXl_Z2Aw_8_5"/>
      <w:bookmarkStart w:id="968" w:name="Tc_BLjSH9n9fUuszzH6tLEcmw_8_2"/>
      <w:bookmarkStart w:id="969" w:name="Tc_hwZy22hYGUydfk3ELtMcKQ_8_0"/>
      <w:bookmarkStart w:id="970" w:name="Tc_ikwuDqnYDEeApeRvOIRptw_7_11"/>
      <w:bookmarkStart w:id="971" w:name="Tc_uDpIRjUSqEu5EEVlZb3Xjw_7_8"/>
      <w:bookmarkStart w:id="972" w:name="Tc_GzziBqWM-EK34K-tyJEKdQ_7_5"/>
      <w:bookmarkStart w:id="973" w:name="Tc_jq9qKYLExk6OtSI0tI_Mrg_7_2"/>
      <w:bookmarkStart w:id="974" w:name="Tc_fR8d66zoTEuldJSWZek8yQ_7_0"/>
      <w:bookmarkStart w:id="975" w:name="Tc_SVd0gAypBUiGslTIYV_VQQ_6_0"/>
      <w:bookmarkStart w:id="976" w:name="Tc_2q9VU4SONUGMXapu6CW2Ng_5_11"/>
      <w:bookmarkStart w:id="977" w:name="Tc_X7FrHBxm70inPWx1GNNi7Q_5_8"/>
      <w:bookmarkStart w:id="978" w:name="Tc_-xRRis5gFUipwSvct152Tg_5_5"/>
      <w:bookmarkStart w:id="979" w:name="Tc_jIpOVWnOKEWobRRfstMS-w_5_2"/>
      <w:bookmarkStart w:id="980" w:name="Tc_4VE1cu2sXE-0WoRbv3j7Aw_5_0"/>
      <w:bookmarkStart w:id="981" w:name="Tc_FHIX2SNPNkuOsfI_vpV9rw_4_2"/>
      <w:bookmarkStart w:id="982" w:name="Tc_-_u8_Cg9tkO8AKqp0pkjlA_3_11"/>
      <w:bookmarkStart w:id="983" w:name="Tc_MbcAcmPfB0mQZPkE7uyrIw_3_8"/>
      <w:bookmarkStart w:id="984" w:name="Tc_JmZiLSCEyEa_ewS20nEPpA_3_6"/>
      <w:bookmarkStart w:id="985" w:name="Tc_XmCxuu5CFkSQc7oDPrN3JQ_3_2"/>
      <w:bookmarkStart w:id="986" w:name="Tc_0Et_gnRsn0iFgVEYQiLMgA_2_8"/>
      <w:bookmarkStart w:id="987" w:name="Tc_g_jV3cAe50yUtpfwhk_QLw_2_2"/>
      <w:bookmarkStart w:id="988" w:name="Tc_eQlNLUOpqkWvObqAg-MZ1A_1_8"/>
      <w:bookmarkStart w:id="989" w:name="Tc_LypOq1NBEke-obU0Kpqx0g_1_2"/>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b/>
          <w:sz w:val="20"/>
        </w:rPr>
        <w:t>12.EARNINGS PER COMMON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attributable to common shareholders: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60"/>
        <w:gridCol w:w="346"/>
        <w:gridCol w:w="240"/>
        <w:gridCol w:w="650"/>
        <w:gridCol w:w="394"/>
        <w:gridCol w:w="240"/>
        <w:gridCol w:w="650"/>
        <w:gridCol w:w="346"/>
        <w:gridCol w:w="215"/>
        <w:gridCol w:w="584"/>
        <w:gridCol w:w="354"/>
        <w:gridCol w:w="215"/>
        <w:gridCol w:w="711"/>
      </w:tblGrid>
      <w:tr>
        <w:trPr/>
        <w:tc>
          <w:tcPr>
            <w:tcW w:w="5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340100" cy="175260"/>
                      <wp:effectExtent l="0" t="0" r="0" b="0"/>
                      <wp:wrapNone/>
                      <wp:docPr id="217" name="Frame217"/>
                      <a:graphic xmlns:a="http://schemas.openxmlformats.org/drawingml/2006/main">
                        <a:graphicData uri="http://schemas.microsoft.com/office/word/2010/wordprocessingShape">
                          <wps:wsp>
                            <wps:cNvSpPr txBox="1"/>
                            <wps:spPr>
                              <a:xfrm>
                                <a:off x="0" y="0"/>
                                <a:ext cx="334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2400" cy="175260"/>
                      <wp:effectExtent l="0" t="0" r="0" b="0"/>
                      <wp:wrapNone/>
                      <wp:docPr id="219" name="Frame21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12750" cy="175260"/>
                      <wp:effectExtent l="0" t="0" r="0" b="0"/>
                      <wp:wrapNone/>
                      <wp:docPr id="220" name="Frame220"/>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50190" cy="175260"/>
                      <wp:effectExtent l="0" t="0" r="0" b="0"/>
                      <wp:wrapNone/>
                      <wp:docPr id="221" name="Frame22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2400" cy="175260"/>
                      <wp:effectExtent l="0" t="0" r="0" b="0"/>
                      <wp:wrapNone/>
                      <wp:docPr id="222" name="Frame2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2750" cy="175260"/>
                      <wp:effectExtent l="0" t="0" r="0" b="0"/>
                      <wp:wrapNone/>
                      <wp:docPr id="223" name="Frame223"/>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6525" cy="175260"/>
                      <wp:effectExtent l="0" t="0" r="0" b="0"/>
                      <wp:wrapNone/>
                      <wp:docPr id="225" name="Frame22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70840" cy="175260"/>
                      <wp:effectExtent l="0" t="0" r="0" b="0"/>
                      <wp:wrapNone/>
                      <wp:docPr id="226" name="Frame226"/>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4790" cy="175260"/>
                      <wp:effectExtent l="0" t="0" r="0" b="0"/>
                      <wp:wrapNone/>
                      <wp:docPr id="227" name="Frame22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6525" cy="175260"/>
                      <wp:effectExtent l="0" t="0" r="0" b="0"/>
                      <wp:wrapNone/>
                      <wp:docPr id="228" name="Frame22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51485" cy="175260"/>
                      <wp:effectExtent l="0" t="0" r="0" b="0"/>
                      <wp:wrapNone/>
                      <wp:docPr id="229" name="Frame229"/>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0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0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4" w:type="dxa"/>
            <w:tcBorders/>
            <w:vAlign w:val="center"/>
          </w:tcPr>
          <w:p>
            <w:pPr>
              <w:pStyle w:val="TableContents"/>
              <w:bidi w:val="0"/>
              <w:spacing w:before="0" w:after="0"/>
              <w:ind w:left="0" w:right="0" w:hanging="0"/>
              <w:jc w:val="center"/>
              <w:rPr/>
            </w:pPr>
            <w:r>
              <w:rPr/>
              <w:t>  ​ ​ ​</w:t>
            </w:r>
          </w:p>
        </w:tc>
        <w:tc>
          <w:tcPr>
            <w:tcW w:w="240" w:type="dxa"/>
            <w:tcBorders/>
            <w:vAlign w:val="center"/>
          </w:tcPr>
          <w:p>
            <w:pPr>
              <w:pStyle w:val="TableContents"/>
              <w:bidi w:val="0"/>
              <w:spacing w:before="0" w:after="0"/>
              <w:ind w:left="0" w:right="0" w:hanging="0"/>
              <w:jc w:val="center"/>
              <w:rPr/>
            </w:pPr>
            <w:r>
              <w:rPr/>
              <w:t>​</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0"/>
              <w:ind w:left="0" w:right="0" w:hanging="0"/>
              <w:jc w:val="center"/>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59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5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PARK common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9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54"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r>
      <w:tr>
        <w:trPr/>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attributable to PARK common shareholders:</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pPr>
            <w:r>
              <w:rPr/>
              <w:t>  ​</w:t>
            </w:r>
          </w:p>
        </w:tc>
      </w:tr>
      <w:tr>
        <w:trPr/>
        <w:tc>
          <w:tcPr>
            <w:tcW w:w="5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9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54"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9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54"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5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stock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w:t>
            </w:r>
          </w:p>
        </w:tc>
        <w:tc>
          <w:tcPr>
            <w:tcW w:w="39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34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w:t>
            </w:r>
          </w:p>
        </w:tc>
        <w:tc>
          <w:tcPr>
            <w:tcW w:w="354"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r>
      <w:tr>
        <w:trPr/>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impact of share based awards and warrants</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394"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354"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stock shares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c>
          <w:tcPr>
            <w:tcW w:w="394"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346" w:type="dxa"/>
            <w:tcBorders/>
            <w:shd w:fill="CCEEFF" w:val="clear"/>
            <w:vAlign w:val="center"/>
          </w:tcPr>
          <w:p>
            <w:pPr>
              <w:pStyle w:val="TableContents"/>
              <w:bidi w:val="0"/>
              <w:spacing w:before="0" w:after="0"/>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c>
          <w:tcPr>
            <w:tcW w:w="354"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r>
      <w:tr>
        <w:trPr/>
        <w:tc>
          <w:tcPr>
            <w:tcW w:w="5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restricted stock excluded from diluted EPS computation</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c>
          <w:tcPr>
            <w:tcW w:w="3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3,539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ind w:left="0" w:right="0" w:hanging="0"/>
        <w:jc w:val="left"/>
        <w:rPr>
          <w:rFonts w:ascii="Times New Roman;Times;serif" w:hAnsi="Times New Roman;Times;serif"/>
          <w:b/>
          <w:sz w:val="20"/>
        </w:rPr>
      </w:pPr>
      <w:bookmarkStart w:id="990" w:name="Tc_JPjcXBx_qEqw4-MG07JplQ_5_11"/>
      <w:bookmarkStart w:id="991" w:name="Tc_Jg__GmchIUyMYh2GkLXh-g_5_8"/>
      <w:bookmarkStart w:id="992" w:name="Tc_j-mYG9mwpkKhMGkylZZlCQ_5_5"/>
      <w:bookmarkStart w:id="993" w:name="Tc_zb687404q0-OWGvGVBQIUA_5_2"/>
      <w:bookmarkStart w:id="994" w:name="Tc_zIuKFCalfEC_LJ7l0Sa2_w_5_0"/>
      <w:bookmarkStart w:id="995" w:name="Tc_o5n6MBHcyk-wQSo_9-QAzw_4_8"/>
      <w:bookmarkStart w:id="996" w:name="Tc_jKOicx0YcECRXdcW3YI6aw_4_2"/>
      <w:bookmarkStart w:id="997" w:name="Tc_cz1LVl7280yrWiLCj1DomA_3_11"/>
      <w:bookmarkStart w:id="998" w:name="Tc_fmKBMJIm6Eqv7M-oVHk8UA_3_8"/>
      <w:bookmarkStart w:id="999" w:name="Tc_hYK8t_Fh_EaohnJUQtpBIg_3_5"/>
      <w:bookmarkStart w:id="1000" w:name="Tc_dkTwP6YrgEmOBsq7c8dVyw_3_2"/>
      <w:bookmarkStart w:id="1001" w:name="Tc_Hnz6UIixrkmIa-Nksw50rg_2_8"/>
      <w:bookmarkStart w:id="1002" w:name="Tc_dibdwrpCPE6vpnv3FIW_nw_2_2"/>
      <w:bookmarkStart w:id="1003" w:name="Tc_YF2YeP_x7EexBdVXCwTqfQ_1_8"/>
      <w:bookmarkStart w:id="1004" w:name="Tc_xZA82ObeWUqLlIKDvvDh3w_1_2"/>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sz w:val="20"/>
        </w:rPr>
        <w:t>13.COMMITMENT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leases all but one of its locations. Excluding renewal options that are not reasonably certain to be exercised, our leases have remaining contractual terms that range from 2 to 18 years. Most of the leases contain renewal options and escalation clauses. Our property leases require payment of real estate taxes, insurance, and common area maintenance, in addition to rent. Our lease agreements do not contain any material residual value guarantees or material restrictive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Lease Cost — </w:t>
      </w:r>
      <w:r>
        <w:rPr>
          <w:rFonts w:ascii="Times New Roman;Times;serif" w:hAnsi="Times New Roman;Times;serif"/>
          <w:sz w:val="20"/>
        </w:rPr>
        <w:t>Lease cost has been included within Office occupancy on our condensed consolidated statements of operations and consisted of the following:</w:t>
      </w:r>
    </w:p>
    <w:p>
      <w:pPr>
        <w:pStyle w:val="TextBody"/>
        <w:bidi w:val="0"/>
        <w:spacing w:before="0" w:after="0"/>
        <w:ind w:left="0" w:right="0" w:hanging="0"/>
        <w:jc w:val="left"/>
        <w:rPr/>
      </w:pPr>
      <w:r>
        <w:rPr/>
        <w:t>​</w:t>
      </w:r>
    </w:p>
    <w:tbl>
      <w:tblPr>
        <w:tblW w:w="6018" w:type="dxa"/>
        <w:jc w:val="left"/>
        <w:tblInd w:w="0" w:type="dxa"/>
        <w:tblLayout w:type="fixed"/>
        <w:tblCellMar>
          <w:top w:w="0" w:type="dxa"/>
          <w:left w:w="0" w:type="dxa"/>
          <w:bottom w:w="0" w:type="dxa"/>
          <w:right w:w="0" w:type="dxa"/>
        </w:tblCellMar>
      </w:tblPr>
      <w:tblGrid>
        <w:gridCol w:w="1006"/>
        <w:gridCol w:w="346"/>
        <w:gridCol w:w="247"/>
        <w:gridCol w:w="668"/>
        <w:gridCol w:w="405"/>
        <w:gridCol w:w="247"/>
        <w:gridCol w:w="668"/>
        <w:gridCol w:w="346"/>
        <w:gridCol w:w="217"/>
        <w:gridCol w:w="587"/>
        <w:gridCol w:w="356"/>
        <w:gridCol w:w="217"/>
        <w:gridCol w:w="708"/>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38810" cy="175260"/>
                      <wp:effectExtent l="0" t="0" r="0" b="0"/>
                      <wp:wrapNone/>
                      <wp:docPr id="230" name="Frame23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6845" cy="175260"/>
                      <wp:effectExtent l="0" t="0" r="0" b="0"/>
                      <wp:wrapNone/>
                      <wp:docPr id="232" name="Frame23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4180" cy="175260"/>
                      <wp:effectExtent l="0" t="0" r="0" b="0"/>
                      <wp:wrapNone/>
                      <wp:docPr id="233" name="Frame233"/>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57175" cy="175260"/>
                      <wp:effectExtent l="0" t="0" r="0" b="0"/>
                      <wp:wrapNone/>
                      <wp:docPr id="234" name="Frame23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6845" cy="175260"/>
                      <wp:effectExtent l="0" t="0" r="0" b="0"/>
                      <wp:wrapNone/>
                      <wp:docPr id="235" name="Frame23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4180" cy="175260"/>
                      <wp:effectExtent l="0" t="0" r="0" b="0"/>
                      <wp:wrapNone/>
                      <wp:docPr id="236" name="Frame236"/>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7795" cy="175260"/>
                      <wp:effectExtent l="0" t="0" r="0" b="0"/>
                      <wp:wrapNone/>
                      <wp:docPr id="238" name="Frame23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72745" cy="175260"/>
                      <wp:effectExtent l="0" t="0" r="0" b="0"/>
                      <wp:wrapNone/>
                      <wp:docPr id="239" name="Frame239"/>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6060" cy="175260"/>
                      <wp:effectExtent l="0" t="0" r="0" b="0"/>
                      <wp:wrapNone/>
                      <wp:docPr id="240" name="Frame24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7795" cy="175260"/>
                      <wp:effectExtent l="0" t="0" r="0" b="0"/>
                      <wp:wrapNone/>
                      <wp:docPr id="241" name="Frame24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49580" cy="175260"/>
                      <wp:effectExtent l="0" t="0" r="0" b="0"/>
                      <wp:wrapNone/>
                      <wp:docPr id="242" name="Frame242"/>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0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5"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1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2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405" w:type="dxa"/>
            <w:tcBorders/>
            <w:shd w:fill="CCEEFF" w:val="clear"/>
            <w:vAlign w:val="center"/>
          </w:tcPr>
          <w:p>
            <w:pPr>
              <w:pStyle w:val="TableContents"/>
              <w:bidi w:val="0"/>
              <w:spacing w:before="0" w:after="0"/>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5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3,861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 cost associated with operating leases and short-term leases (i.e., leases with an initial term of 12 months or less) is recognized on a straight-line basis from the date we take possession of the property through the end of the lease term. Variable lease payments not recognized in the measurement of operating lease liabilities are expensed as incurred.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05" w:name="Tc_3A-6_YwdaE2VBfm5ZeNvoQ_5_11"/>
      <w:bookmarkStart w:id="1006" w:name="Tc_5hKR5ZICFka7Yvz5Fl6xPA_5_8"/>
      <w:bookmarkStart w:id="1007" w:name="Tc_P5FNIl4pxk6KfwFRTzeibA_5_5"/>
      <w:bookmarkStart w:id="1008" w:name="Tc_w3Vu5ZeaZUumUqEttjB2aA_5_2"/>
      <w:bookmarkStart w:id="1009" w:name="Tc_LOD61rmCg0-kxi5V2lOgdQ_5_0"/>
      <w:bookmarkStart w:id="1010" w:name="Tc_3jtJQFZ1vEKXeToa5UFbfA_4_8"/>
      <w:bookmarkStart w:id="1011" w:name="Tc_LoK60t4d1U2-6X7pzv56Cg_4_2"/>
      <w:bookmarkStart w:id="1012" w:name="Tc_pIs8NuFn9k2qdwTCnLYkgA_3_11"/>
      <w:bookmarkStart w:id="1013" w:name="Tc_-IVCL73K4Uaj10w6-vqZtQ_3_8"/>
      <w:bookmarkStart w:id="1014" w:name="Tc_i4W_oAxFA0eAbqmJnETbWg_3_5"/>
      <w:bookmarkStart w:id="1015" w:name="Tc_c0SrbPLL-k-KIUreOIJfqw_3_2"/>
      <w:bookmarkStart w:id="1016" w:name="Tc_suvPpkyHtUiJuAITjgYZow_2_8"/>
      <w:bookmarkStart w:id="1017" w:name="Tc_FRU-OUpRS0yfiqJkGBAFBw_2_2"/>
      <w:bookmarkStart w:id="1018" w:name="Tc_-uCU85tU10-cEXaqjB6v0Q_1_8"/>
      <w:bookmarkStart w:id="1019" w:name="Tc_CJi5keYDVU2tXlC3oVna6Q_1_2"/>
      <w:bookmarkStart w:id="1020" w:name="Tc_xa_Q_mEQw0CA2lFUu1b60Q_4_7"/>
      <w:bookmarkStart w:id="1021" w:name="Tc_GLcjxScF9EWnnnOmkHajVg_4_4"/>
      <w:bookmarkStart w:id="1022" w:name="Tc_oM39yb3zKEGpIVf9C0zZlg_4_0"/>
      <w:bookmarkStart w:id="1023" w:name="Tc_SENyXWToqUumiBXYLMh_3Q_3_7"/>
      <w:bookmarkStart w:id="1024" w:name="Tc_kucxvKJVmEWqttT-BHtFXw_3_4"/>
      <w:bookmarkStart w:id="1025" w:name="Tc_kbGW9Awf1Uq57IA_vap1bQ_3_0"/>
      <w:bookmarkStart w:id="1026" w:name="Tc_HmZY-AmcrECGetZeUthvLw_2_6"/>
      <w:bookmarkStart w:id="1027" w:name="Tc_DUgRg4S81kqfQRzZlqnOVQ_2_3"/>
      <w:bookmarkStart w:id="1028" w:name="Tc_1dDhwaPf0UmjYRrrVkEXpw_1_3"/>
      <w:bookmarkStart w:id="1029" w:name="Tc_Oba-Lq_fNkKa8pP9ZuxZHQ_8_5"/>
      <w:bookmarkStart w:id="1030" w:name="Tc_UuFvQdSpIU6QP7eg7ERPKw_8_2"/>
      <w:bookmarkStart w:id="1031" w:name="Tc_pJzlbAVhUEmSZDzjIc8wxw_8_0"/>
      <w:bookmarkStart w:id="1032" w:name="Tc_S-rIBseNX0yvhaPSKKtYHg_7_0"/>
      <w:bookmarkStart w:id="1033" w:name="Tc_T_W81_V4XUaWEzS2iX_b5w_6_5"/>
      <w:bookmarkStart w:id="1034" w:name="Tc_oLuHZzERqUu185Iu7WTKVQ_6_2"/>
      <w:bookmarkStart w:id="1035" w:name="Tc_FV5QG-30FUeGmP8V4NoGJQ_6_0"/>
      <w:bookmarkStart w:id="1036" w:name="Tc_n7kd1T3mN0mf2v-yv68MdA_5_0"/>
      <w:bookmarkStart w:id="1037" w:name="Tc_5Px5Gk4MjEWKhYNVqxOz2Q_4_5"/>
      <w:bookmarkStart w:id="1038" w:name="Tc_u2V7ZOLRaEGAmZHpcIAOjA_4_2"/>
      <w:bookmarkStart w:id="1039" w:name="Tc_xY6XmSTOQUWi3yAt-AGLdQ_4_0"/>
      <w:bookmarkStart w:id="1040" w:name="Tc_XUojEHYRpECddWyPSuJVkw_3_2"/>
      <w:bookmarkStart w:id="1041" w:name="Tc_gahqTQbEB0C7gbskXIJ2lw_2_5"/>
      <w:bookmarkStart w:id="1042" w:name="Tc_yNjDGBDjVEKwI55R-PBDkg_2_2"/>
      <w:bookmarkStart w:id="1043" w:name="Tc_tSwomkQOTEWY1VxEnoaEEQ_1_2"/>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Times New Roman;Times;serif" w:hAnsi="Times New Roman;Times;serif"/>
          <w:b/>
          <w:sz w:val="20"/>
        </w:rPr>
        <w:t xml:space="preserve">Operating Right of Use Assets and Lease Liabilities — </w:t>
      </w:r>
      <w:r>
        <w:rPr>
          <w:rFonts w:ascii="Times New Roman;Times;serif" w:hAnsi="Times New Roman;Times;serif"/>
          <w:sz w:val="20"/>
        </w:rPr>
        <w:t>Operating right of use assets and lease liabilities included on our condensed consolidated balance sheets were as follows:</w:t>
      </w:r>
    </w:p>
    <w:p>
      <w:pPr>
        <w:pStyle w:val="TextBody"/>
        <w:bidi w:val="0"/>
        <w:spacing w:before="0" w:after="0"/>
        <w:ind w:left="0" w:right="0" w:hanging="0"/>
        <w:jc w:val="left"/>
        <w:rPr/>
      </w:pPr>
      <w:r>
        <w:rPr/>
        <w:t>​</w:t>
      </w:r>
    </w:p>
    <w:tbl>
      <w:tblPr>
        <w:tblW w:w="6683" w:type="dxa"/>
        <w:jc w:val="left"/>
        <w:tblInd w:w="0" w:type="dxa"/>
        <w:tblLayout w:type="fixed"/>
        <w:tblCellMar>
          <w:top w:w="0" w:type="dxa"/>
          <w:left w:w="0" w:type="dxa"/>
          <w:bottom w:w="0" w:type="dxa"/>
          <w:right w:w="0" w:type="dxa"/>
        </w:tblCellMar>
      </w:tblPr>
      <w:tblGrid>
        <w:gridCol w:w="3556"/>
        <w:gridCol w:w="109"/>
        <w:gridCol w:w="267"/>
        <w:gridCol w:w="859"/>
        <w:gridCol w:w="346"/>
        <w:gridCol w:w="324"/>
        <w:gridCol w:w="1222"/>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58060" cy="175260"/>
                      <wp:effectExtent l="0" t="0" r="0" b="0"/>
                      <wp:wrapNone/>
                      <wp:docPr id="243" name="Frame243"/>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9545" cy="175260"/>
                      <wp:effectExtent l="0" t="0" r="0" b="0"/>
                      <wp:wrapNone/>
                      <wp:docPr id="245" name="Frame24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45465" cy="175260"/>
                      <wp:effectExtent l="0" t="0" r="0" b="0"/>
                      <wp:wrapNone/>
                      <wp:docPr id="246" name="Frame24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5740" cy="175260"/>
                      <wp:effectExtent l="0" t="0" r="0" b="0"/>
                      <wp:wrapNone/>
                      <wp:docPr id="248" name="Frame248"/>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75970" cy="175260"/>
                      <wp:effectExtent l="0" t="0" r="0" b="0"/>
                      <wp:wrapNone/>
                      <wp:docPr id="249" name="Frame249"/>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6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 of use assets –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6,711</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leases</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42,119</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49,066</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48,370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Remaining Lease Terms and Discount Rates — </w:t>
      </w:r>
      <w:r>
        <w:rPr>
          <w:rFonts w:ascii="Times New Roman;Times;serif" w:hAnsi="Times New Roman;Times;serif"/>
          <w:sz w:val="20"/>
        </w:rPr>
        <w:t>We are required to recognize right of use assets and lease liabilities for our operating leases. In order to establish our lease obligation, we are required to determine the incremental borrowing rate, which is used to discount future lease payments. The incremental borrowing rate is defined as the rate of interest that a lessee would have to pay to borrow over a similar term, with similar security, the funds necessary to purchase the underlying asset in a similar economic environment. Since the interest rate implicit in our lease contracts is typically not readily determinable, we reviewed existing debt financing arrangements and the types of leases as well as the lease term and type of collateral to calculate the incremental borrowing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remaining lease terms and discount rates associated with our operating lease liabilities were as follows:</w:t>
      </w:r>
    </w:p>
    <w:p>
      <w:pPr>
        <w:pStyle w:val="TextBody"/>
        <w:bidi w:val="0"/>
        <w:spacing w:before="0" w:after="0"/>
        <w:ind w:left="0" w:right="0" w:hanging="0"/>
        <w:jc w:val="left"/>
        <w:rPr/>
      </w:pPr>
      <w:r>
        <w:rPr/>
        <w:t>​</w:t>
      </w:r>
    </w:p>
    <w:tbl>
      <w:tblPr>
        <w:tblW w:w="7737" w:type="dxa"/>
        <w:jc w:val="left"/>
        <w:tblInd w:w="0" w:type="dxa"/>
        <w:tblLayout w:type="fixed"/>
        <w:tblCellMar>
          <w:top w:w="0" w:type="dxa"/>
          <w:left w:w="0" w:type="dxa"/>
          <w:bottom w:w="0" w:type="dxa"/>
          <w:right w:w="0" w:type="dxa"/>
        </w:tblCellMar>
      </w:tblPr>
      <w:tblGrid>
        <w:gridCol w:w="4501"/>
        <w:gridCol w:w="109"/>
        <w:gridCol w:w="109"/>
        <w:gridCol w:w="528"/>
        <w:gridCol w:w="598"/>
        <w:gridCol w:w="346"/>
        <w:gridCol w:w="694"/>
        <w:gridCol w:w="852"/>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58135" cy="175260"/>
                      <wp:effectExtent l="0" t="0" r="0" b="0"/>
                      <wp:wrapNone/>
                      <wp:docPr id="250" name="Frame250"/>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35280" cy="175260"/>
                      <wp:effectExtent l="0" t="0" r="0" b="0"/>
                      <wp:wrapNone/>
                      <wp:docPr id="253" name="Frame25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79730" cy="175260"/>
                      <wp:effectExtent l="0" t="0" r="0" b="0"/>
                      <wp:wrapNone/>
                      <wp:docPr id="254" name="Frame254"/>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40690" cy="175260"/>
                      <wp:effectExtent l="0" t="0" r="0" b="0"/>
                      <wp:wrapNone/>
                      <wp:docPr id="256" name="Frame256"/>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41020" cy="175260"/>
                      <wp:effectExtent l="0" t="0" r="0" b="0"/>
                      <wp:wrapNone/>
                      <wp:docPr id="257" name="Frame25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Weight-average discount rate-operating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5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Weight-average remaining lease term-operating leases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Supplemental Cash Flow Information — </w:t>
      </w:r>
      <w:r>
        <w:rPr>
          <w:rFonts w:ascii="Times New Roman;Times;serif" w:hAnsi="Times New Roman;Times;serif"/>
          <w:sz w:val="20"/>
        </w:rPr>
        <w:t>Supplemental cash flow information associated with our operating leases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26"/>
        <w:gridCol w:w="109"/>
        <w:gridCol w:w="234"/>
        <w:gridCol w:w="634"/>
        <w:gridCol w:w="384"/>
        <w:gridCol w:w="234"/>
        <w:gridCol w:w="634"/>
        <w:gridCol w:w="109"/>
        <w:gridCol w:w="220"/>
        <w:gridCol w:w="595"/>
        <w:gridCol w:w="360"/>
        <w:gridCol w:w="220"/>
        <w:gridCol w:w="646"/>
      </w:tblGrid>
      <w:tr>
        <w:trPr/>
        <w:tc>
          <w:tcPr>
            <w:tcW w:w="5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99510" cy="175260"/>
                      <wp:effectExtent l="0" t="0" r="0" b="0"/>
                      <wp:wrapNone/>
                      <wp:docPr id="258" name="Frame258"/>
                      <a:graphic xmlns:a="http://schemas.openxmlformats.org/drawingml/2006/main">
                        <a:graphicData uri="http://schemas.microsoft.com/office/word/2010/wordprocessingShape">
                          <wps:wsp>
                            <wps:cNvSpPr txBox="1"/>
                            <wps:spPr>
                              <a:xfrm>
                                <a:off x="0" y="0"/>
                                <a:ext cx="369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8590" cy="175260"/>
                      <wp:effectExtent l="0" t="0" r="0" b="0"/>
                      <wp:wrapNone/>
                      <wp:docPr id="260" name="Frame26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2590" cy="175260"/>
                      <wp:effectExtent l="0" t="0" r="0" b="0"/>
                      <wp:wrapNone/>
                      <wp:docPr id="261" name="Frame261"/>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43840" cy="175260"/>
                      <wp:effectExtent l="0" t="0" r="0" b="0"/>
                      <wp:wrapNone/>
                      <wp:docPr id="262" name="Frame26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8590" cy="175260"/>
                      <wp:effectExtent l="0" t="0" r="0" b="0"/>
                      <wp:wrapNone/>
                      <wp:docPr id="263" name="Frame26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02590" cy="175260"/>
                      <wp:effectExtent l="0" t="0" r="0" b="0"/>
                      <wp:wrapNone/>
                      <wp:docPr id="264" name="Frame264"/>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9700" cy="175260"/>
                      <wp:effectExtent l="0" t="0" r="0" b="0"/>
                      <wp:wrapNone/>
                      <wp:docPr id="266" name="Frame26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77825" cy="175260"/>
                      <wp:effectExtent l="0" t="0" r="0" b="0"/>
                      <wp:wrapNone/>
                      <wp:docPr id="267" name="Frame26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28600" cy="175260"/>
                      <wp:effectExtent l="0" t="0" r="0" b="0"/>
                      <wp:wrapNone/>
                      <wp:docPr id="268" name="Frame2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9700" cy="175260"/>
                      <wp:effectExtent l="0" t="0" r="0" b="0"/>
                      <wp:wrapNone/>
                      <wp:docPr id="269" name="Frame26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10210" cy="175260"/>
                      <wp:effectExtent l="0" t="0" r="0" b="0"/>
                      <wp:wrapNone/>
                      <wp:docPr id="270" name="Frame27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04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0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4" w:type="dxa"/>
            <w:tcBorders/>
            <w:vAlign w:val="center"/>
          </w:tcPr>
          <w:p>
            <w:pPr>
              <w:pStyle w:val="TableContents"/>
              <w:bidi w:val="0"/>
              <w:spacing w:before="0" w:after="0"/>
              <w:ind w:left="0" w:right="0" w:hanging="0"/>
              <w:jc w:val="left"/>
              <w:rPr/>
            </w:pPr>
            <w:r>
              <w:rPr/>
              <w:t>  ​ ​ ​</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0" w:type="dxa"/>
            <w:tcBorders/>
            <w:vAlign w:val="center"/>
          </w:tcPr>
          <w:p>
            <w:pPr>
              <w:pStyle w:val="TableContents"/>
              <w:bidi w:val="0"/>
              <w:spacing w:before="0" w:after="0"/>
              <w:ind w:left="0" w:right="0" w:hanging="0"/>
              <w:jc w:val="left"/>
              <w:rPr/>
            </w:pPr>
            <w:r>
              <w:rPr/>
              <w:t>  ​ ​ ​</w:t>
            </w:r>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204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information – right of use assets obtained in exchange for lease liabilities –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w:t>
            </w:r>
          </w:p>
        </w:tc>
        <w:tc>
          <w:tcPr>
            <w:tcW w:w="360"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w:t>
            </w:r>
          </w:p>
        </w:tc>
      </w:tr>
      <w:tr>
        <w:trPr/>
        <w:tc>
          <w:tcPr>
            <w:tcW w:w="5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44" w:name="Tc_zhwH6q0_t0SejGpBh1YwJg_10_2"/>
      <w:bookmarkStart w:id="1045" w:name="Tc_GLqQ3WULJUSvEnBwmLqN4Q_10_0"/>
      <w:bookmarkStart w:id="1046" w:name="Tc_8WJWvFrIBEiP82JZFbuR5w_9_0"/>
      <w:bookmarkStart w:id="1047" w:name="Tc_qNTaPkkmT06vCVc8YGrBEg_8_0"/>
      <w:bookmarkStart w:id="1048" w:name="Tc_tchP_tmB_UKuyaMY6XKEWA_7_0"/>
      <w:bookmarkStart w:id="1049" w:name="Tc_pkWIvNB5r0uICOwaJlPT7w_6_0"/>
      <w:bookmarkStart w:id="1050" w:name="Tc_dnY4Qqh9ME-Huv70yrmsjA_5_0"/>
      <w:bookmarkStart w:id="1051" w:name="Tc_6GMxBCXsZ0yPA_fSxqgtvw_4_0"/>
      <w:bookmarkStart w:id="1052" w:name="Tc_dHleGre-Xk69TIlzE-P2OA_3_0"/>
      <w:bookmarkStart w:id="1053" w:name="Tc_x6o67Y2gN0ymKgEq8diEow_2_2"/>
      <w:bookmarkStart w:id="1054" w:name="Tc_CWVRWAkLEkuvWF7SBZ3bLA_2_0"/>
      <w:bookmarkStart w:id="1055" w:name="Tc_xTtdveEQ-UW6-_f0QaRN-A_1_2"/>
      <w:bookmarkEnd w:id="1044"/>
      <w:bookmarkEnd w:id="1045"/>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 xml:space="preserve">Maturities of Operating Lease Liabilities — </w:t>
      </w:r>
      <w:r>
        <w:rPr>
          <w:rFonts w:ascii="Times New Roman;Times;serif" w:hAnsi="Times New Roman;Times;serif"/>
          <w:sz w:val="20"/>
        </w:rPr>
        <w:t>Scheduled minimum lease payments under noncancelable operating leases with initial or remaining lease terms in excess of one year at June 30, 2026, are summarized as follows:</w:t>
      </w:r>
    </w:p>
    <w:p>
      <w:pPr>
        <w:pStyle w:val="TextBody"/>
        <w:bidi w:val="0"/>
        <w:spacing w:before="0" w:after="0"/>
        <w:ind w:left="0" w:right="0" w:hanging="0"/>
        <w:jc w:val="left"/>
        <w:rPr/>
      </w:pPr>
      <w:r>
        <w:rPr/>
        <w:t>​</w:t>
      </w:r>
    </w:p>
    <w:tbl>
      <w:tblPr>
        <w:tblW w:w="3965" w:type="dxa"/>
        <w:jc w:val="left"/>
        <w:tblInd w:w="0" w:type="dxa"/>
        <w:tblLayout w:type="fixed"/>
        <w:tblCellMar>
          <w:top w:w="0" w:type="dxa"/>
          <w:left w:w="0" w:type="dxa"/>
          <w:bottom w:w="0" w:type="dxa"/>
          <w:right w:w="0" w:type="dxa"/>
        </w:tblCellMar>
      </w:tblPr>
      <w:tblGrid>
        <w:gridCol w:w="2686"/>
        <w:gridCol w:w="109"/>
        <w:gridCol w:w="245"/>
        <w:gridCol w:w="925"/>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705610" cy="175260"/>
                      <wp:effectExtent l="0" t="0" r="0" b="0"/>
                      <wp:wrapNone/>
                      <wp:docPr id="271" name="Frame27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55575" cy="175260"/>
                      <wp:effectExtent l="0" t="0" r="0" b="0"/>
                      <wp:wrapNone/>
                      <wp:docPr id="273" name="Frame27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87375" cy="175260"/>
                      <wp:effectExtent l="0" t="0" r="0" b="0"/>
                      <wp:wrapNone/>
                      <wp:docPr id="274" name="Frame274"/>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6,316</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59,239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liability accretion</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49,066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Legal Contingencies —</w:t>
      </w:r>
      <w:r>
        <w:rPr>
          <w:rFonts w:ascii="Times New Roman;Times;serif" w:hAnsi="Times New Roman;Times;serif"/>
          <w:sz w:val="20"/>
        </w:rPr>
        <w:t xml:space="preserve"> We and our affiliated dental practices have been named as a defendant in lawsuits from time to time in the normal course of business, primarily for employment liability, alleged negligence in care or general liability and contractual business disputes. At the present time, we do not believe any pending lawsuits will have a material adverse effect on our operating results, cash flows, liquidity or financial position</w:t>
      </w:r>
    </w:p>
    <w:p>
      <w:pPr>
        <w:pStyle w:val="TextBody"/>
        <w:bidi w:val="0"/>
        <w:spacing w:before="0" w:after="240"/>
        <w:ind w:left="0" w:right="0" w:firstLine="360"/>
        <w:jc w:val="left"/>
        <w:rPr>
          <w:rFonts w:ascii="TimesNewRoman" w:hAnsi="TimesNewRoman"/>
          <w:sz w:val="20"/>
        </w:rPr>
      </w:pPr>
      <w:r>
        <w:rPr>
          <w:rFonts w:ascii="TimesNewRoman" w:hAnsi="TimesNewRoman"/>
          <w:sz w:val="20"/>
        </w:rPr>
        <w:t xml:space="preserve">In 2024, multiple claims were filed against us in state and federal courts in Minnesota based on a data breach event. Subsequently, certain of the claims were dismissed; however, the putative class action suit in Minnesota District Court entitled, In re Park Dental Data Breach Litigation, Case No. 27-CV-24-12335, Fourth Judicial District, County of Hennepin, State of Minnesota continues. We presently believe the settlement of this matter is probable. We expect the settlement, net of insurance recoveries, will have an immaterial impact to our financial results as we anticipate the costs to settle will be fully recovered under our insurance policy coverage.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14.VARIABLE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affiliated dental practices employ dentists, contract with payors, and provide dental services to patients in Minnesota, Wisconsin, and Arizona. Park Dental Partners, Inc. provides a wide range of support services to the affiliated dental practices. Activities include but are not limited to operational support of clinical facilities, marketing, information technology infrastructure, and the sourcing and managing of dental plan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evaluated whether we have a variable interest in our affiliated dental practices, whether the practices are VIEs, and whether we have a controlling financial interest in them. We have concluded that we have variable interests in the affiliated dental practices on the basis of our Administrative Resources Agreements which provide for reimbursement of costs and management fees payable to us in exchange for providing management and administrative services related to the growth of the patient population, development of all necessary policies and operating procedures, including development and implementation of clinical practice guidelines, and quality assurance and utilization management programs. We have concluded that the success or failure of the dental resource organization (DRO) in conducting these support activities will most significantly impact the economic performance of our affiliated dental practices. In addition, our variable interests in these practices provide us with the right to receive benefits that could potentially be significant. We also note there are no assets of the affiliated dental practices that cannot be used to settle obligations of the Company, and there are no liabilities of the affiliated dental practices for which creditors do not have recourse to the general credit of Park Dental Partners, Inc. as the primary beneficiary. The single member of each of the respective affiliated dental practices is a shareholder of Park Dental Partners, Inc. As a result of this analysis, Park Dental Partners, Inc. concluded that it is the primary beneficiary of the affiliated dental practices and therefore consolidates their balance sheets, results of operations and cash flows. We perform a qualitative assessment of VIEs on an ongoing basis to determine if we continue to be the primary beneficiary.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56" w:name="Tc_G8TUod4u5kKszEsAh-BeSg_5_5"/>
      <w:bookmarkStart w:id="1057" w:name="Tc_unt9PRJgk0u3YWDAqwptew_5_2"/>
      <w:bookmarkStart w:id="1058" w:name="Tc_qbA4KuFtN0abf-XU8fcBIg_5_0"/>
      <w:bookmarkStart w:id="1059" w:name="Tc_yCbOolwz-EOj9xwnldeYHg_4_5"/>
      <w:bookmarkStart w:id="1060" w:name="Tc_-5koW_1BpUak7iqzD1JmRg_4_2"/>
      <w:bookmarkStart w:id="1061" w:name="Tc_n1c0UW6XhkWa5dVgPDI9GA_4_0"/>
      <w:bookmarkStart w:id="1062" w:name="Tc_yJ3mT59tXUqgHuf4yT8dUw_3_2"/>
      <w:bookmarkStart w:id="1063" w:name="Tc_d9mc-MV1F0CfPMr25-H4yw_2_5"/>
      <w:bookmarkStart w:id="1064" w:name="Tc_d04d85z-7U2l-9NJdJTqDg_2_2"/>
      <w:bookmarkStart w:id="1065" w:name="Tc_-TUWNoNBHkS8VW47Nr3X4A_1_2"/>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sz w:val="20"/>
        </w:rPr>
        <w:t>The combined assets and liabilities of the affiliated dental practices of PDG, TDS and The Dental Specialists Orthodontics which are included within the condensed consolidated financial statements of Park Dental Partners, Inc. are as follows:</w:t>
      </w:r>
    </w:p>
    <w:p>
      <w:pPr>
        <w:pStyle w:val="TextBody"/>
        <w:bidi w:val="0"/>
        <w:spacing w:before="0" w:after="0"/>
        <w:ind w:left="0" w:right="0" w:hanging="0"/>
        <w:jc w:val="left"/>
        <w:rPr/>
      </w:pPr>
      <w:r>
        <w:rPr/>
        <w:t>​</w:t>
      </w:r>
    </w:p>
    <w:tbl>
      <w:tblPr>
        <w:tblW w:w="5255" w:type="dxa"/>
        <w:jc w:val="left"/>
        <w:tblInd w:w="0" w:type="dxa"/>
        <w:tblLayout w:type="fixed"/>
        <w:tblCellMar>
          <w:top w:w="0" w:type="dxa"/>
          <w:left w:w="0" w:type="dxa"/>
          <w:bottom w:w="0" w:type="dxa"/>
          <w:right w:w="0" w:type="dxa"/>
        </w:tblCellMar>
      </w:tblPr>
      <w:tblGrid>
        <w:gridCol w:w="1891"/>
        <w:gridCol w:w="346"/>
        <w:gridCol w:w="267"/>
        <w:gridCol w:w="859"/>
        <w:gridCol w:w="346"/>
        <w:gridCol w:w="324"/>
        <w:gridCol w:w="1222"/>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00785" cy="175260"/>
                      <wp:effectExtent l="0" t="0" r="0" b="0"/>
                      <wp:wrapNone/>
                      <wp:docPr id="275" name="Frame27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9545" cy="175260"/>
                      <wp:effectExtent l="0" t="0" r="0" b="0"/>
                      <wp:wrapNone/>
                      <wp:docPr id="277" name="Frame27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45465" cy="175260"/>
                      <wp:effectExtent l="0" t="0" r="0" b="0"/>
                      <wp:wrapNone/>
                      <wp:docPr id="278" name="Frame27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5740" cy="175260"/>
                      <wp:effectExtent l="0" t="0" r="0" b="0"/>
                      <wp:wrapNone/>
                      <wp:docPr id="280" name="Frame28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75970" cy="175260"/>
                      <wp:effectExtent l="0" t="0" r="0" b="0"/>
                      <wp:wrapNone/>
                      <wp:docPr id="281" name="Frame281"/>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25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43,478</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41,269</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34,984</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32,821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the minority ownership in the affiliated dental practices, whereby a single designated doctor holds one share of the affiliate entity, but has no right to receive any economic benefit, or interest in the profits generated by the affiliated dental practices, we have not assigned any value to the non-controlling interests in the condensed consolidated operations.</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b/>
          <w:sz w:val="21"/>
        </w:rPr>
        <w:t>RELATED-PARTY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lease agreements with entities that are minority owned by certain practicing dentists and officers of the Company. Total lease liabilities for these properties were $21,143 at June 30, 2026, and $23,161 at December 31, 2025. Lease cost of $469 and $509 was recognized for these properties for the three months ended June 30, 2026 and 2025, respectively, and were $938 and $944 for the six months ended June 30, 2026 and 2025,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described in </w:t>
      </w:r>
      <w:r>
        <w:rPr>
          <w:rFonts w:ascii="Times New Roman;Times;serif" w:hAnsi="Times New Roman;Times;serif"/>
          <w:i/>
          <w:sz w:val="20"/>
        </w:rPr>
        <w:t>Note 9 — Long-term debt</w:t>
      </w:r>
      <w:r>
        <w:rPr>
          <w:rFonts w:ascii="Times New Roman;Times;serif" w:hAnsi="Times New Roman;Times;serif"/>
          <w:sz w:val="20"/>
        </w:rPr>
        <w:t>, we have outstanding subordinated notes payable. A portion of these subordinated notes are due to certain related parties, the principal balance of which is $2,012, due at maturity and interest due quarterly through October 1, 2037.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vesting of certain equity awards upon the consummation of the Company’s initial public offering, the Company made loans to eleven affiliated shareholder doctors, evidenced by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promissory notes, to provide liquidity for tax obligations arising from such vesting. The loans, which were not available to executive officers or directors, were capped at 31% of the value of the vested shares, bear interest at 3.66% per annum, and are due no later than January 2027. Participating shareholders are subject to a 365 day lockup restriction while these loans remain outstanding. The aggregate principal amount outstanding under these promissory notes was $600 as of June 30, 2026, and was presented within Prepaid expenses and other current assets on the condensed consolidated balance sheet. No amounts were outstanding as of December 31, 2025.</w:t>
      </w:r>
    </w:p>
    <w:p>
      <w:pPr>
        <w:pStyle w:val="TextBody"/>
        <w:bidi w:val="0"/>
        <w:ind w:left="0" w:right="0" w:hanging="0"/>
        <w:jc w:val="left"/>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b/>
          <w:sz w:val="22"/>
        </w:rPr>
        <w:t>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evaluated events occurring subsequent to the date of the condensed consolidated financial statements through August 13, 2026, which is the date the condensed consolidated financial statements were issued.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13, 2026, the Company issued 22,483 shares of common stock to the underwriters in connection with the exercise of warrants issued in connection with our initial public offering completed on December 4, 2025. Refer to </w:t>
      </w:r>
      <w:r>
        <w:rPr>
          <w:rFonts w:ascii="Times New Roman;Times;serif" w:hAnsi="Times New Roman;Times;serif"/>
          <w:i/>
          <w:sz w:val="20"/>
        </w:rPr>
        <w:t>Note 11 – Shareholders’ Equity (Deficit)</w:t>
      </w:r>
      <w:r>
        <w:rPr>
          <w:rFonts w:ascii="Times New Roman;Times;serif" w:hAnsi="Times New Roman;Times;serif"/>
          <w:sz w:val="20"/>
        </w:rPr>
        <w:t xml:space="preserve"> for further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August 7, 2026, Park Dental Partners, Inc., entered into an agreement to acquire Village Family Dental DSO and affiliate with the Village Family Dental professional practices. Refer to </w:t>
      </w:r>
      <w:r>
        <w:rPr>
          <w:rFonts w:ascii="Times New Roman;Times;serif" w:hAnsi="Times New Roman;Times;serif"/>
          <w:i/>
          <w:sz w:val="20"/>
        </w:rPr>
        <w:t xml:space="preserve">Note 2 – Acquisitions </w:t>
      </w:r>
      <w:r>
        <w:rPr>
          <w:rFonts w:ascii="Times New Roman;Times;serif" w:hAnsi="Times New Roman;Times;serif"/>
          <w:sz w:val="20"/>
        </w:rPr>
        <w:t>for further information.</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other events have occurred that would require adjustments to disclosures in the consolidated financial statements.</w:t>
      </w:r>
    </w:p>
    <w:p>
      <w:pPr>
        <w:pStyle w:val="TextBody"/>
        <w:pBdr/>
        <w:bidi w:val="0"/>
        <w:spacing w:before="0" w:after="240"/>
        <w:ind w:left="0" w:right="0" w:hanging="36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6" w:name="Item2ManagementsDiscussionandAnalysisofF"/>
      <w:bookmarkStart w:id="1067" w:name="_cd3b3a18_c3f9_4afb_9068_bb5fb9dc472d"/>
      <w:bookmarkEnd w:id="1066"/>
      <w:bookmarkEnd w:id="1067"/>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discussion and analysis of the Company’s condensed consolidated financial condition and results of operations should be read along with the condensed consolidated financial statements and the accompanying notes thereto included elsewhere in this Quarterly Report on Form 10-Q (this “Quarterly Report”).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contain these words. These statements are only predictions. The information, except for historical information, contained in this discussion and analysis or set forth elsewhere in this Quarterly Report includes forward-looking statements that involve risks and </w:t>
      </w:r>
      <w:r>
        <w:rPr>
          <w:rFonts w:ascii="Times New Roman;Times;serif" w:hAnsi="Times New Roman;Times;serif"/>
          <w:sz w:val="22"/>
        </w:rPr>
        <w:t>uncertainties. Actual results may differ materially from those contemplated by such forward-looking statements because of, among other things, potential risks and uncertainties,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risk, including state dental corporate practice of dentistry and fee-splitting restrictions, HIPAA and other privacy/cybersecurity obligations, and evolving healthcare and labor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risk, including risks related to payer mix, reimbursement rates, audit/recoupment activity, enrollment and collections timing, and dependence on significant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acquire, integrate and effectively support affiliated practices and to execute de novo expansion, and the risk of undiscovered liabilities in acquisitions;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affiliated dental practices and their clinical performance; our ability to attract, hire and retain dentists, specialists and hygienists; and risks related to ownership transitions of affiliated entities;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patients and clinicians in our markets and the impact on patient volumes and staffing;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inflation and interest rates, and our geographic concentration, particularly in the Minnesota area.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review Part I, Item 1A “Risk Factors” in our Annual Report on Form 10-K filed with the U.S. Securities and Exchange Commission (“SEC”) for the year ended December 31, 2025 for a discussion of a number of important factors that could cause actual results to differ materially from the results described in or implied by the forward-looking statements contained in the following discussion and analysis or set forth elsewhere in this Quarterly Report. The Company assumes no obligation to publicly release the results of any revisions or updates to these forward-looking statements to reflect future events or unanticipated occurrences.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dental resource organization (“DRO”), Park Dental Partners, Inc. provides comprehensive business support services including clinical team members, administrative personnel, facilities and equipment to our affiliated general and multi-specialty dental practices in Minnesota, Wisconsin and Arizona. Our network of affiliated dental practices employs 219 dentists, and consists of 1,028 hygienists, dental assistants, and patient care coordinators that support affiliated dentists in operating their dental practices across 87 practice locations. Our network of affiliated dental practices has been operating for over fifty years, beginning with the establishment of the general dentistry group in 1972. The mission of our affiliated dental practices since inception has been to ensure patients enjoy the benefits of a lifetime of good oral health. This mission continues to be the driving force behind our organization today.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is based upon our condensed consolidated financial statements, which have been prepared in accordance with GAAP. The preparation of our condensed financial statements in conformity with GAAP requires us to make estimates, judgments and assumptions that affect the reported amounts of assets and liabilities at the date of the financial statements and the reported amount of revenues and expenses in the reporting period. Our actual results may differ from these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policies affected most significantly by estimates, assumptions and judgments used in the preparation of the Company’s condensed consolidated financial statements are described in Part II, Item 7 “Management’s Discussion and Analysis of Financial Condition and Results of Operations” of our Annual Report. On an ongoing basis, the Company evaluates the critical accounting policies used to prepare its condensed consolidated financial statements, including, but not limited to, those related to business acquisitions. There have been no material changes in these critical accounting policies and estimates during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2026 Compared to Three and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for the periods indicated, our condensed consolidated statements of operations and certain other information. Amounts may not add to the totals due to rounding.</w:t>
      </w:r>
    </w:p>
    <w:tbl>
      <w:tblPr>
        <w:tblW w:w="9361" w:type="dxa"/>
        <w:jc w:val="left"/>
        <w:tblInd w:w="0" w:type="dxa"/>
        <w:tblLayout w:type="fixed"/>
        <w:tblCellMar>
          <w:top w:w="0" w:type="dxa"/>
          <w:left w:w="0" w:type="dxa"/>
          <w:bottom w:w="0" w:type="dxa"/>
          <w:right w:w="0" w:type="dxa"/>
        </w:tblCellMar>
      </w:tblPr>
      <w:tblGrid>
        <w:gridCol w:w="4411"/>
        <w:gridCol w:w="346"/>
        <w:gridCol w:w="211"/>
        <w:gridCol w:w="676"/>
        <w:gridCol w:w="346"/>
        <w:gridCol w:w="211"/>
        <w:gridCol w:w="676"/>
        <w:gridCol w:w="109"/>
        <w:gridCol w:w="211"/>
        <w:gridCol w:w="781"/>
        <w:gridCol w:w="346"/>
        <w:gridCol w:w="211"/>
        <w:gridCol w:w="82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800985" cy="175260"/>
                      <wp:effectExtent l="0" t="0" r="0" b="0"/>
                      <wp:wrapNone/>
                      <wp:docPr id="282" name="Frame282"/>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29260" cy="175260"/>
                      <wp:effectExtent l="0" t="0" r="0" b="0"/>
                      <wp:wrapNone/>
                      <wp:docPr id="288" name="Frame2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4510" cy="175260"/>
                      <wp:effectExtent l="0" t="0" r="0" b="0"/>
                      <wp:wrapNone/>
                      <wp:docPr id="294" name="Frame29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Operations: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122,035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 and Laboratory fees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occupancy</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4,136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Total revenues for the three months ended June 30, 2026, increased $3.2 million, or 5.1%, to $66.2 million from $63.0 million for the three months ended June 30, 2025. General Dentistry revenue increased $2.4 million, and multi specialty dentistry revenue was higher by $0.8 million, reflecting increased clinical hours, the impact of acquisitions, and reimbursement growth through higher payor contractual rates. Revenue from acquisitions contributed approximately $1.3 million for the quarter over the prior year’s comparable quarter. Same Practice Revenue, as defined as dental practice locations that have been operating for at least 13 full months prior to the end of a given period and which have not been closed, or sold during such periods, increased approximately 2.3%, or $1.4 million from the prior comparable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Total revenues for the six months ended June 30, 2026, increased $6.9 million, or 5.6%, to $128.9 million from $122.0 million for the six months ended June 30, 2025. General Dentistry revenue increased $5.1 million, and multi specialty dentistry revenue was higher by $1.8 million, reflecting increased clinical hours, the impact of acquisitions, and reimbursement growth through higher payor contractual rates. Revenue from acquisitions contributed approximately $2.0 million for the six months period over the prior year’s comparable period. Same Practice Revenue increased approximately 3.2%, or $3.8 million from the prior comparable period.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Cost of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Salaries and Benefits</w:t>
      </w:r>
      <w:r>
        <w:rPr>
          <w:rFonts w:ascii="Times New Roman;Times;serif" w:hAnsi="Times New Roman;Times;serif"/>
          <w:sz w:val="20"/>
        </w:rPr>
        <w:t xml:space="preserve">. Salaries and benefits consist principally of affiliated dentist compensation, clinical team member compensation and related benefit costs.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Salaries and benefits for the three months ended June 30, 2026 was $42.1 million, an increase of $5.0 million, or 13.5%, from $37.1 million for the three months ended June 30, 2025. The increase is primarily attributable to the recognition of $2.8 million in share based compensation expense in the three months ended June 30, 2026, while no share based compensation expense was recorded in the three months ended June 30, 2025. The remaining $2.2 million increase relates to an increase of $1.5 million in salaries, driven by increased headcount, including from acquired practices, annual salary increases, $0.3 million deferred compensation costs, $0.2 million of contractor support, and a net increase in benefits and taxes of $0.1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Salaries and benefits for the six months ended June 30, 2026 was $84.0 million, an increase of $11.3 million, or 15.5%, from $72.7 million for the six months ended June 30, 2025. The increase is primarily attributable to the recognition of $6.5 million in share based compensation expense in the six months ended June 30, 2026, while no share based compensation expense was recorded in the six months ended June 30, 2025. The remaining $4.8 million increase relates to an increase of $3.1 million in salaries, driven by increased headcount, including from acquired practices, annual salary increases, $0.5 million of contractor support, $0.3 million of incentive compensation, $0.3 in deferred compensation costs, and a net increase in benefits and taxes of $0.5 million, mainly due to $0.3 million increased taxes, and $0.2 million of paid family medical leave.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Dental supplies and Laboratory Fees. </w:t>
      </w:r>
      <w:r>
        <w:rPr>
          <w:rFonts w:ascii="Times New Roman;Times;serif" w:hAnsi="Times New Roman;Times;serif"/>
          <w:sz w:val="20"/>
        </w:rPr>
        <w:t xml:space="preserve">Dental supplies and laboratory fees consists of variable costs associated with our affiliated dental practices providing dental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Dental supplies and laboratory fees expense for the three months ended June 30, 2026 was $4.4 million, an increase of $0.1 million, or 2.5% from $4.3 million for the three months ended June 30, 2025. The increase was due to a $0.1 million increase in dental supply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Dental supplies and laboratory fees expense for the six months ended June 30, 2026 was $8.8 million, an increase of $0.2 million, or 2.4% from $8.6 million for the six months ended June 30, 2025. The increase was due to a $0.3 million increase in dental supply expenses, offset in part by a $0.1 million decrease in laboratory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in dental supply expense for both the three and six months ended June 30, 2026 was primarily attributable to higher production resulting from acquisitions completed since the prior comparable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Office occupancy expenses. </w:t>
      </w:r>
      <w:r>
        <w:rPr>
          <w:rFonts w:ascii="Times New Roman;Times;serif" w:hAnsi="Times New Roman;Times;serif"/>
          <w:sz w:val="20"/>
        </w:rPr>
        <w:t xml:space="preserve">Office occupancy expenses include lease costs and other physical practice location expenses.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Office occupancy expense for the three months ended June 30, 2026 was $4.4 million, an increase of $0.3 million, or 7.1%, from $4.1 million for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Office occupancy expense for the six months ended June 30, 2026 was $8.7 million, an increase of $0.6 million, or 7.0%, from $8.1 million for the six months ended June 30,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for both periods was primarily due to increased capacity expansion and slightly higher leasing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Other practice expenses. </w:t>
      </w:r>
      <w:r>
        <w:rPr>
          <w:rFonts w:ascii="Times New Roman;Times;serif" w:hAnsi="Times New Roman;Times;serif"/>
          <w:sz w:val="20"/>
        </w:rPr>
        <w:t xml:space="preserve">Other practice expenses include MinnesotaCare provider taxes, software and subscription costs, repairs and maintenance costs, recruiting, travel and entertainment, insurance and other operating costs.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practice expense for the three months ended June 30, 2026 was $3.8 million, an increase of $0.2 million, or 6.3%, from $3.6 million for the three months ended June 30, 2025 as a result of higher software and subscription costs, and volume-based MinnesotaCare provider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practice expense for the six months ended June 30, 2026 was $7.7 million, an increase of $0.7 million, or 9.3%, from $7.0 million for the six months ended June 30, 2025 as a result of $0.4 million higher software and subscription costs, $0.1 million due to volume-based MinnesotaCare provider taxes and $0.1 million increased travel and entertainment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Cost of Services Depreciation Expense. </w:t>
      </w:r>
      <w:r>
        <w:rPr>
          <w:rFonts w:ascii="Times New Roman;Times;serif" w:hAnsi="Times New Roman;Times;serif"/>
          <w:sz w:val="20"/>
        </w:rPr>
        <w:t xml:space="preserve">Cost of services depreciation expense encompasses depreciation associated with practice related assets such as dental equipment, leasehold improvements, furniture and fixtures and computer equipment.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Practice depreciation expense for the three months ended June 30, 2026 was $1.9 million, a decrease of $0.1 million, or 1.8%, from $2.0 million for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Practice depreciation expense for both the six months ended June 30, 2026 and 2025 was $3.9 million.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General and administrative expenses consist of costs of our centralized billing offices and call-centers, marketing and advertising expenses, regional management expenses, executive and senior management, and centralized functions, such as accounting, finance, team member relations, information technology, operations, real estate and other similar functions.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 for the three months ended June 30, 2026 was $7.8 million, an increase of $0.4 million, or 6.2%, from $7.4 million for the three months ended June 30, 2025. The increase in cost is primarily attributable to $0.6 million higher professional fees, a $0.2 million increase in share based compensation expense, $0.2 million of increased insurance costs, and $0.1 million increase in salaries and wages, offset in part by $0.8 million lower costs associated with preparing for our 2025 initial public offering.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 for the six months ended June 30, 2026 was $15.7 million, an increase of $1.4 million, or 9.6%, from $14.3 million for the six months ended June 30, 2025. The increase in cost is primarily attributable to $0.9 million higher professional fees, a $0.6 million increase in share based compensation expense, $0.3 million increase in salaries and wages, $0.3 million of increased insurance costs, $0.2 million higher marketing costs, and a $0.2 million net increase in benefits and taxes, offset in part by $1.3 million lower costs associated with preparing for our 2025 initial public offering.</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Depreciation and amortization expenses are related to our non-practice related investments in long-lived assets such as computer equipment, furniture and fixtures, and amortization of intangible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 remained stable for the three and six months ended June 30, 2026, when compared to the three and six months ended June 30, 2025. The recognized expense for the three and six months ended was $0.4 million and $0.8 million, respectively, in both years.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interest expense for the three months ended June 30, 2026 was $0.1 million, a slight decrease from $0.3 million for the three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interest expense for the six months ended June 30, 2026 was $0.3 million, a decrease of $0.4 million from $0.7 million for the six months ended June 30,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for both the three and six months ended was driven by an increase in interest income earned on money market funds and a decrease in total interest-bearing debt under our term loan and usage of line of credit over the year.</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 xml:space="preserve">Income tax benefit for the three months ended June 30, 2026 was $0.2 million compared to $1.2 million income tax expense for the three months ended June 30, 2025. </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 xml:space="preserve">Income tax benefit for the six months ended June 30, 2026 was $1.8 million compared to $1.9 million income tax expense for the six months ended June 30, 2025. </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The change for the three and six months ended June 30, 2026 compared to the prior comparable periods was primarily driven by higher discrete deductible expenses associated with vesting of share awards in the three and six months ended June 30, 2026.</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Key Financial Measures, Performance Indicators and Non-GAAP Financial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assessing the performance of our business, we consider a variety of financial measures and performance indicators that directly or indirectly impact our revenue and profitability. The key financial and Non-GAAP financial measures and performance indicators we use are set forth below, as of and for the three and six months ended June 30, 2026 and 2025:</w:t>
      </w:r>
    </w:p>
    <w:tbl>
      <w:tblPr>
        <w:tblW w:w="10688" w:type="dxa"/>
        <w:jc w:val="left"/>
        <w:tblInd w:w="0" w:type="dxa"/>
        <w:tblLayout w:type="fixed"/>
        <w:tblCellMar>
          <w:top w:w="0" w:type="dxa"/>
          <w:left w:w="0" w:type="dxa"/>
          <w:bottom w:w="0" w:type="dxa"/>
          <w:right w:w="0" w:type="dxa"/>
        </w:tblCellMar>
      </w:tblPr>
      <w:tblGrid>
        <w:gridCol w:w="1141"/>
        <w:gridCol w:w="346"/>
        <w:gridCol w:w="196"/>
        <w:gridCol w:w="691"/>
        <w:gridCol w:w="346"/>
        <w:gridCol w:w="196"/>
        <w:gridCol w:w="691"/>
        <w:gridCol w:w="346"/>
        <w:gridCol w:w="196"/>
        <w:gridCol w:w="571"/>
        <w:gridCol w:w="346"/>
        <w:gridCol w:w="152"/>
        <w:gridCol w:w="674"/>
        <w:gridCol w:w="346"/>
        <w:gridCol w:w="196"/>
        <w:gridCol w:w="691"/>
        <w:gridCol w:w="346"/>
        <w:gridCol w:w="196"/>
        <w:gridCol w:w="691"/>
        <w:gridCol w:w="346"/>
        <w:gridCol w:w="196"/>
        <w:gridCol w:w="571"/>
        <w:gridCol w:w="346"/>
        <w:gridCol w:w="149"/>
        <w:gridCol w:w="722"/>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24535" cy="175260"/>
                      <wp:effectExtent l="0" t="0" r="0" b="0"/>
                      <wp:wrapNone/>
                      <wp:docPr id="295" name="Frame2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7"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8" name="Frame2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4460" cy="175260"/>
                      <wp:effectExtent l="0" t="0" r="0" b="0"/>
                      <wp:wrapNone/>
                      <wp:docPr id="303" name="Frame3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4"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6520" cy="175260"/>
                      <wp:effectExtent l="0" t="0" r="0" b="0"/>
                      <wp:wrapNone/>
                      <wp:docPr id="306" name="Frame306"/>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7990" cy="175260"/>
                      <wp:effectExtent l="0" t="0" r="0" b="0"/>
                      <wp:wrapNone/>
                      <wp:docPr id="307" name="Frame30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8785" cy="175260"/>
                      <wp:effectExtent l="0" t="0" r="0" b="0"/>
                      <wp:wrapNone/>
                      <wp:docPr id="310" name="Frame3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4460" cy="175260"/>
                      <wp:effectExtent l="0" t="0" r="0" b="0"/>
                      <wp:wrapNone/>
                      <wp:docPr id="312" name="Frame3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38785" cy="175260"/>
                      <wp:effectExtent l="0" t="0" r="0" b="0"/>
                      <wp:wrapNone/>
                      <wp:docPr id="313" name="Frame3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4460" cy="175260"/>
                      <wp:effectExtent l="0" t="0" r="0" b="0"/>
                      <wp:wrapNone/>
                      <wp:docPr id="315" name="Frame3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6" name="Frame3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94615" cy="175260"/>
                      <wp:effectExtent l="0" t="0" r="0" b="0"/>
                      <wp:wrapNone/>
                      <wp:docPr id="318" name="Frame318"/>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58470" cy="175260"/>
                      <wp:effectExtent l="0" t="0" r="0" b="0"/>
                      <wp:wrapNone/>
                      <wp:docPr id="319" name="Frame319"/>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r>
      <w:tr>
        <w:trPr/>
        <w:tc>
          <w:tcPr>
            <w:tcW w:w="11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 thousands, except per share amounts, percentages, patient visits, and doctor count)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Increase/ (Decrease)</w:t>
            </w:r>
          </w:p>
        </w:tc>
        <w:tc>
          <w:tcPr>
            <w:tcW w:w="346" w:type="dxa"/>
            <w:tcBorders/>
            <w:vAlign w:val="center"/>
          </w:tcPr>
          <w:p>
            <w:pPr>
              <w:pStyle w:val="TableContents"/>
              <w:bidi w:val="0"/>
              <w:spacing w:before="0" w:after="1"/>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Increase/ (Decrease)</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Increase/ (Decrease)</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Increase/ (Decrease)</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Key Financial Measures</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52" w:type="dxa"/>
            <w:tcBorders/>
            <w:shd w:fill="CCEEFF" w:val="clear"/>
            <w:vAlign w:val="center"/>
          </w:tcPr>
          <w:p>
            <w:pPr>
              <w:pStyle w:val="TableContents"/>
              <w:bidi w:val="0"/>
              <w:spacing w:before="0" w:after="1"/>
              <w:ind w:left="0" w:right="0" w:hanging="0"/>
              <w:jc w:val="center"/>
              <w:rPr/>
            </w:pPr>
            <w:r>
              <w:rPr/>
              <w:t>​</w:t>
            </w:r>
          </w:p>
        </w:tc>
        <w:tc>
          <w:tcPr>
            <w:tcW w:w="67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49" w:type="dxa"/>
            <w:tcBorders/>
            <w:shd w:fill="CCEEFF" w:val="clear"/>
            <w:vAlign w:val="center"/>
          </w:tcPr>
          <w:p>
            <w:pPr>
              <w:pStyle w:val="TableContents"/>
              <w:bidi w:val="0"/>
              <w:spacing w:before="0" w:after="1"/>
              <w:ind w:left="0" w:right="0" w:hanging="0"/>
              <w:jc w:val="center"/>
              <w:rPr/>
            </w:pPr>
            <w:r>
              <w:rPr/>
              <w:t>​</w:t>
            </w:r>
          </w:p>
        </w:tc>
        <w:tc>
          <w:tcPr>
            <w:tcW w:w="722" w:type="dxa"/>
            <w:tcBorders/>
            <w:shd w:fill="CCEEFF" w:val="clear"/>
            <w:vAlign w:val="center"/>
          </w:tcPr>
          <w:p>
            <w:pPr>
              <w:pStyle w:val="TableContents"/>
              <w:bidi w:val="0"/>
              <w:spacing w:before="0" w:after="1"/>
              <w:ind w:left="0" w:right="0" w:hanging="0"/>
              <w:jc w:val="center"/>
              <w:rPr/>
            </w:pPr>
            <w:r>
              <w:rPr/>
              <w:t>​</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66,212</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62,998</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3,214</w:t>
            </w:r>
          </w:p>
        </w:tc>
        <w:tc>
          <w:tcPr>
            <w:tcW w:w="346" w:type="dxa"/>
            <w:tcBorders/>
            <w:vAlign w:val="center"/>
          </w:tcPr>
          <w:p>
            <w:pPr>
              <w:pStyle w:val="TableContents"/>
              <w:bidi w:val="0"/>
              <w:spacing w:before="0" w:after="1"/>
              <w:ind w:left="0" w:right="0" w:hanging="0"/>
              <w:jc w:val="center"/>
              <w:rPr/>
            </w:pPr>
            <w:r>
              <w:rPr/>
              <w:t>​</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128,907</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122,035</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6,872</w:t>
            </w:r>
          </w:p>
        </w:tc>
        <w:tc>
          <w:tcPr>
            <w:tcW w:w="346" w:type="dxa"/>
            <w:tcBorders/>
            <w:vAlign w:val="center"/>
          </w:tcPr>
          <w:p>
            <w:pPr>
              <w:pStyle w:val="TableContents"/>
              <w:bidi w:val="0"/>
              <w:spacing w:before="0" w:after="1"/>
              <w:ind w:left="0" w:right="0" w:hanging="0"/>
              <w:jc w:val="center"/>
              <w:rPr/>
            </w:pPr>
            <w:r>
              <w:rPr/>
              <w:t>​</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Gross Margin</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9,514</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11,906</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(2,392)</w:t>
            </w:r>
          </w:p>
        </w:tc>
        <w:tc>
          <w:tcPr>
            <w:tcW w:w="346" w:type="dxa"/>
            <w:tcBorders/>
            <w:shd w:fill="CCEEFF" w:val="clear"/>
            <w:vAlign w:val="center"/>
          </w:tcPr>
          <w:p>
            <w:pPr>
              <w:pStyle w:val="TableContents"/>
              <w:bidi w:val="0"/>
              <w:spacing w:before="0" w:after="1"/>
              <w:ind w:left="0" w:right="0" w:hanging="0"/>
              <w:jc w:val="center"/>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15,894</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21,762</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(5,868)</w:t>
            </w:r>
          </w:p>
        </w:tc>
        <w:tc>
          <w:tcPr>
            <w:tcW w:w="346" w:type="dxa"/>
            <w:tcBorders/>
            <w:shd w:fill="CCEEFF" w:val="clear"/>
            <w:vAlign w:val="center"/>
          </w:tcPr>
          <w:p>
            <w:pPr>
              <w:pStyle w:val="TableContents"/>
              <w:bidi w:val="0"/>
              <w:spacing w:before="0" w:after="1"/>
              <w:ind w:left="0" w:right="0" w:hanging="0"/>
              <w:jc w:val="center"/>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1,349</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2,570</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(1,221)</w:t>
            </w:r>
          </w:p>
        </w:tc>
        <w:tc>
          <w:tcPr>
            <w:tcW w:w="346" w:type="dxa"/>
            <w:tcBorders/>
            <w:vAlign w:val="center"/>
          </w:tcPr>
          <w:p>
            <w:pPr>
              <w:pStyle w:val="TableContents"/>
              <w:bidi w:val="0"/>
              <w:spacing w:before="0" w:after="1"/>
              <w:ind w:left="0" w:right="0" w:hanging="0"/>
              <w:jc w:val="center"/>
              <w:rPr/>
            </w:pPr>
            <w:r>
              <w:rPr/>
              <w:t>​</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959</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4,136</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(3,177)</w:t>
            </w:r>
          </w:p>
        </w:tc>
        <w:tc>
          <w:tcPr>
            <w:tcW w:w="346" w:type="dxa"/>
            <w:tcBorders/>
            <w:vAlign w:val="center"/>
          </w:tcPr>
          <w:p>
            <w:pPr>
              <w:pStyle w:val="TableContents"/>
              <w:bidi w:val="0"/>
              <w:spacing w:before="0" w:after="1"/>
              <w:ind w:left="0" w:right="0" w:hanging="0"/>
              <w:jc w:val="center"/>
              <w:rPr/>
            </w:pPr>
            <w:r>
              <w:rPr/>
              <w:t>​</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 EPS</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1"/>
              <w:ind w:left="0" w:right="0" w:hanging="0"/>
              <w:jc w:val="center"/>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shd w:fill="CCEEFF" w:val="clear"/>
            <w:vAlign w:val="center"/>
          </w:tcPr>
          <w:p>
            <w:pPr>
              <w:pStyle w:val="TableContents"/>
              <w:bidi w:val="0"/>
              <w:spacing w:before="0" w:after="1"/>
              <w:ind w:left="0" w:right="0" w:hanging="0"/>
              <w:jc w:val="center"/>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(93.3)%</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Patient Visits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185,569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185,189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w:t>
            </w:r>
          </w:p>
        </w:tc>
        <w:tc>
          <w:tcPr>
            <w:tcW w:w="34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364,096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361,129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2,967</w:t>
            </w:r>
          </w:p>
        </w:tc>
        <w:tc>
          <w:tcPr>
            <w:tcW w:w="346" w:type="dxa"/>
            <w:tcBorders/>
            <w:vAlign w:val="center"/>
          </w:tcPr>
          <w:p>
            <w:pPr>
              <w:pStyle w:val="TableContents"/>
              <w:bidi w:val="0"/>
              <w:spacing w:before="0" w:after="1"/>
              <w:ind w:left="0" w:right="0" w:hanging="0"/>
              <w:jc w:val="left"/>
              <w:rPr/>
            </w:pPr>
            <w:r>
              <w:rPr/>
              <w:t>​</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Same Practice Revenue Growth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Patient Retention Rate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Doctor Count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r>
      <w:tr>
        <w:trPr/>
        <w:tc>
          <w:tcPr>
            <w:tcW w:w="114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i/>
                <w:sz w:val="16"/>
              </w:rPr>
              <w:t>Non-GAAP Measures</w:t>
            </w:r>
            <w:r>
              <w:rPr>
                <w:rFonts w:ascii="Times New Roman;Times;serif" w:hAnsi="Times New Roman;Times;serif"/>
                <w:i/>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4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w:t>
            </w:r>
          </w:p>
        </w:tc>
        <w:tc>
          <w:tcPr>
            <w:tcW w:w="346" w:type="dxa"/>
            <w:tcBorders/>
            <w:shd w:fill="CCEEFF" w:val="clear"/>
            <w:vAlign w:val="center"/>
          </w:tcPr>
          <w:p>
            <w:pPr>
              <w:pStyle w:val="TableContents"/>
              <w:bidi w:val="0"/>
              <w:spacing w:before="0" w:after="1"/>
              <w:ind w:left="0" w:right="0" w:hanging="0"/>
              <w:jc w:val="left"/>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EBITDA Percentage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w:t>
            </w:r>
          </w:p>
        </w:tc>
        <w:tc>
          <w:tcPr>
            <w:tcW w:w="34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w:t>
            </w:r>
          </w:p>
        </w:tc>
        <w:tc>
          <w:tcPr>
            <w:tcW w:w="346" w:type="dxa"/>
            <w:tcBorders/>
            <w:shd w:fill="CCEEFF" w:val="clear"/>
            <w:vAlign w:val="center"/>
          </w:tcPr>
          <w:p>
            <w:pPr>
              <w:pStyle w:val="TableContents"/>
              <w:bidi w:val="0"/>
              <w:spacing w:before="0" w:after="1"/>
              <w:ind w:left="0" w:right="0" w:hanging="0"/>
              <w:jc w:val="left"/>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Gross Margin Percentage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Diluted EPS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346" w:type="dxa"/>
            <w:tcBorders/>
            <w:shd w:fill="CCEEFF" w:val="clear"/>
            <w:vAlign w:val="center"/>
          </w:tcPr>
          <w:p>
            <w:pPr>
              <w:pStyle w:val="TableContents"/>
              <w:bidi w:val="0"/>
              <w:spacing w:before="0" w:after="1"/>
              <w:ind w:left="0" w:right="0" w:hanging="0"/>
              <w:jc w:val="center"/>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w:t>
            </w:r>
          </w:p>
        </w:tc>
        <w:tc>
          <w:tcPr>
            <w:tcW w:w="346" w:type="dxa"/>
            <w:tcBorders/>
            <w:shd w:fill="CCEEFF" w:val="clear"/>
            <w:vAlign w:val="center"/>
          </w:tcPr>
          <w:p>
            <w:pPr>
              <w:pStyle w:val="TableContents"/>
              <w:bidi w:val="0"/>
              <w:spacing w:before="0" w:after="1"/>
              <w:ind w:left="0" w:right="0" w:hanging="0"/>
              <w:jc w:val="center"/>
              <w:rPr/>
            </w:pPr>
            <w:r>
              <w:rPr/>
              <w:t>​</w:t>
            </w:r>
          </w:p>
        </w:tc>
        <w:tc>
          <w:tcPr>
            <w:tcW w:w="1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(63.3)%</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 Percentage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52"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bps</w:t>
            </w:r>
          </w:p>
        </w:tc>
        <w:tc>
          <w:tcPr>
            <w:tcW w:w="149"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4.3%</w:t>
            </w:r>
          </w:p>
        </w:tc>
      </w:tr>
    </w:tbl>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Measures are defined in the “</w:t>
            </w:r>
            <w:r>
              <w:rPr>
                <w:rFonts w:ascii="Times New Roman;Times;serif" w:hAnsi="Times New Roman;Times;serif"/>
                <w:b w:val="false"/>
                <w:i/>
                <w:sz w:val="20"/>
              </w:rPr>
              <w:t>Non-GAAP Financial Measures Definitions</w:t>
            </w:r>
            <w:r>
              <w:rPr>
                <w:caps w:val="false"/>
                <w:smallCaps w:val="false"/>
              </w:rPr>
              <w:t>” </w:t>
            </w:r>
            <w:r>
              <w:rPr>
                <w:rFonts w:ascii="Times New Roman;Times;serif" w:hAnsi="Times New Roman;Times;serif"/>
                <w:b w:val="false"/>
                <w:i w:val="false"/>
                <w:caps w:val="false"/>
                <w:smallCaps w:val="false"/>
                <w:sz w:val="20"/>
              </w:rPr>
              <w:t>section. For a reconciliation of Adjusted EBITDA to net income, Adjusted Gross Margin to Gross Margin, and Adjusted Diluted EPS to Diluted EPS, to the most directly comparable GAAP measures, see the “</w:t>
            </w:r>
            <w:r>
              <w:rPr>
                <w:rFonts w:ascii="Times New Roman;Times;serif" w:hAnsi="Times New Roman;Times;serif"/>
                <w:b w:val="false"/>
                <w:i/>
                <w:sz w:val="20"/>
              </w:rPr>
              <w:t>Non-GAAP Financial Measures</w:t>
            </w:r>
            <w:r>
              <w:rPr>
                <w:caps w:val="false"/>
                <w:smallCaps w:val="false"/>
              </w:rPr>
              <w:t>” </w:t>
            </w:r>
            <w:r>
              <w:rPr>
                <w:rFonts w:ascii="Times New Roman;Times;serif" w:hAnsi="Times New Roman;Times;serif"/>
                <w:b w:val="false"/>
                <w:i w:val="false"/>
                <w:caps w:val="false"/>
                <w:smallCaps w:val="false"/>
                <w:sz w:val="20"/>
              </w:rPr>
              <w:t>section.</w:t>
            </w:r>
          </w:p>
        </w:tc>
      </w:tr>
    </w:tbl>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 Related Financial Measures and Performance Indicators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pacing w:val="4"/>
          <w:sz w:val="20"/>
        </w:rPr>
        <w:t xml:space="preserve">Patient Visits. </w:t>
      </w:r>
      <w:r>
        <w:rPr>
          <w:rFonts w:ascii="Times New Roman;Times;serif" w:hAnsi="Times New Roman;Times;serif"/>
          <w:sz w:val="20"/>
        </w:rPr>
        <w:t xml:space="preserve">A patient visit is counted when service is provided to a patient at one of our affiliated dental general dentistry practices. Measuring the year-over-year change in patient visits helps us to evaluate how the affiliated dental practices are performing. It also helps with evaluating demand for services which influences decision-making relating to matters such as appropriate staffing levels and recruiting needs. In addition, it influences decision-making processes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relating to our marketing, sales and advertising strategies and helps us with evaluating the effectiveness of those strategies. Further, with respect to continuing care patient count, it allows us to evaluate the ability of affiliated dentists to encourage patients to complete their diagnosed dental treatment plans.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Patient visits for the three months ended June 30, 2026 were 185,569, an increase of 0.2% from 185,189 for the three months ended June 30, 2025.</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Patient visits for the six months ended June 30, 2026 were 364,096, an increase of 0.8% from 361,129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pacing w:val="4"/>
          <w:sz w:val="20"/>
        </w:rPr>
        <w:t xml:space="preserve">Same Practice Revenue Growth. </w:t>
      </w:r>
      <w:r>
        <w:rPr>
          <w:rFonts w:ascii="Times New Roman;Times;serif" w:hAnsi="Times New Roman;Times;serif"/>
          <w:sz w:val="20"/>
        </w:rPr>
        <w:t>Same practice revenues represent total revenues for same dental practice locations that have been operating for at least 13 full months prior to the end of a given period and which have not been closed, or sold during such period. Measuring the year-over-year change in same practice revenues allows us to evaluate how affiliated dental practices are performing. We believe various factors affect comparable practice revenues, including patient demand for dental services, economic trends, dentist and hygienist staffing levels, availability of dentists and hygienists, pricing, competition, visibility and accessibility of the dental practices, quality of the tenants surrounding the dental practices, clinical hours and the level of patient service provided inside and outside of the dental practices.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Same Practice Revenue Growth for the three months ended June 30, 2026 was 2.3%, or 350 bps lower than the 5.8% Same Practice Revenue Growth for the three months ended June 30, 2025.</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Same Practice Revenue Growth for the six months ended June 30, 2026 was 3.2%, or 40 bps lower than the 3.6% Same Practice Revenue Growth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pacing w:val="4"/>
          <w:sz w:val="20"/>
        </w:rPr>
        <w:t>Patient Retention Rate</w:t>
      </w:r>
      <w:r>
        <w:rPr>
          <w:rFonts w:ascii="Times New Roman;Times;serif" w:hAnsi="Times New Roman;Times;serif"/>
          <w:spacing w:val="4"/>
          <w:sz w:val="20"/>
        </w:rPr>
        <w:t xml:space="preserve">. </w:t>
      </w:r>
      <w:r>
        <w:rPr>
          <w:rFonts w:ascii="Times New Roman;Times;serif" w:hAnsi="Times New Roman;Times;serif"/>
          <w:sz w:val="20"/>
        </w:rPr>
        <w:t>Patient retention rate is calculated by counting patients that remain active at the beginning and end of a twelve-month period. Active patients are defined as general dentistry patients having been seen by our affiliated dental practices within the past 36 months, or last 18 months for patients under the age of 18. Patients who have not been seen by our affiliated dental practices within these time periods are removed from our active patient lists. This methodology is aligned with ADA clinical procedure codes, and is consistent with treatment protocols for new patients, before being considered an active patient again. Measuring the year-over-year and quarter-over-quarter change in patient retention allows us to evaluate the recurring nature of patient visits at the dental practices and affiliated dentists which influences decision-making around matters such as appropriate levels of staffing, recruiting, advertising and facility expansion opportunities.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 retention rate was 90.3% for both the three and six months ended June 30, 2026, an increase of 60 bps from 89.7% for both the three and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Doctor Count.</w:t>
      </w:r>
      <w:r>
        <w:rPr>
          <w:rFonts w:ascii="Times New Roman;Times;serif" w:hAnsi="Times New Roman;Times;serif"/>
          <w:sz w:val="20"/>
        </w:rPr>
        <w:t xml:space="preserve"> Dentists operating in one of our affiliated dental practices are included in this calculation, which includes both full and part-time dentists. Measuring the year-over-year and quarter-over-quarter change in dentist count allows us to evaluate the production capacity of affiliated dental practices. It also influences decision-making relating to matters such as appropriate staffing levels and recruiting needs.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Doctor count as of June 30, 2026 was 219, sixteen higher than the June 30, 2025 doctor count of 203.</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Percentage,” “Adjusted Gross Margin,” “Adjusted Gross Margin Percentage,” “Adjusted Diluted EPS,” and “General and Administrative Expense Percentage,” collectively known as “the Non-GAAP Financial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 the Non-GAAP Financial Measures as supplemental measures of financial performance that are not required by, or presented in accordance with, GAAP. We believe these non-GAAP measures assist investors and analysts in comparing our operating performance across reporting periods on a consistent basis by excluding items that we do not believe are indicative of our operating performance. Management believes the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 Non-GAAP Financial Measures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Non-GAAP Financial Measures are not recognized terms under GAAP and should not be considered as alternatives to net income (loss) or gross margin as measures of financial performance or cash provided by operating 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 All measurements are provided with a reconciliation from a GAAP measurement.</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 Definitions</w:t>
      </w:r>
    </w:p>
    <w:p>
      <w:pPr>
        <w:pStyle w:val="TextBody"/>
        <w:bidi w:val="0"/>
        <w:spacing w:before="0" w:after="240"/>
        <w:ind w:left="0" w:right="0" w:firstLine="360"/>
        <w:jc w:val="left"/>
        <w:rPr/>
      </w:pPr>
      <w:r>
        <w:rPr/>
        <w:t>“</w:t>
      </w:r>
      <w:r>
        <w:rPr>
          <w:rFonts w:ascii="Times New Roman;Times;serif" w:hAnsi="Times New Roman;Times;serif"/>
          <w:sz w:val="20"/>
        </w:rPr>
        <w:t>Adjusted EBITDA” is defined as net income (loss) adjusted to exclude interest expense (income), net, provision for (benefit from) income taxes, depreciation and amortization, share based compensation, discretionary shareholder bonuses, non-qualified deferred compensation expenses, and restructuring costs.</w:t>
      </w:r>
    </w:p>
    <w:p>
      <w:pPr>
        <w:pStyle w:val="TextBody"/>
        <w:bidi w:val="0"/>
        <w:spacing w:before="0" w:after="240"/>
        <w:ind w:left="0" w:right="0" w:firstLine="360"/>
        <w:jc w:val="left"/>
        <w:rPr/>
      </w:pPr>
      <w:r>
        <w:rPr/>
        <w:t>“</w:t>
      </w:r>
      <w:r>
        <w:rPr>
          <w:rFonts w:ascii="Times New Roman;Times;serif" w:hAnsi="Times New Roman;Times;serif"/>
          <w:sz w:val="20"/>
        </w:rPr>
        <w:t>Adjusted EBITDA Percentage” is defined as Adjusted EBITDA as a percentage of consolidated revenue.</w:t>
      </w:r>
    </w:p>
    <w:p>
      <w:pPr>
        <w:pStyle w:val="TextBody"/>
        <w:bidi w:val="0"/>
        <w:spacing w:before="0" w:after="240"/>
        <w:ind w:left="0" w:right="0" w:firstLine="360"/>
        <w:jc w:val="left"/>
        <w:rPr/>
      </w:pPr>
      <w:r>
        <w:rPr/>
        <w:t>“</w:t>
      </w:r>
      <w:r>
        <w:rPr>
          <w:rFonts w:ascii="Times New Roman;Times;serif" w:hAnsi="Times New Roman;Times;serif"/>
          <w:sz w:val="20"/>
        </w:rPr>
        <w:t>Adjusted Gross Margin” is defined as Gross Margin excluding depreciation expense, share based compensation, discretionary shareholder bonuses, non-qualified deferred compensation expenses, and restructuring costs.</w:t>
      </w:r>
    </w:p>
    <w:p>
      <w:pPr>
        <w:pStyle w:val="TextBody"/>
        <w:bidi w:val="0"/>
        <w:spacing w:before="0" w:after="240"/>
        <w:ind w:left="0" w:right="0" w:firstLine="360"/>
        <w:jc w:val="left"/>
        <w:rPr/>
      </w:pPr>
      <w:r>
        <w:rPr/>
        <w:t>“</w:t>
      </w:r>
      <w:r>
        <w:rPr>
          <w:rFonts w:ascii="Times New Roman;Times;serif" w:hAnsi="Times New Roman;Times;serif"/>
          <w:sz w:val="20"/>
        </w:rPr>
        <w:t>Adjusted Gross Margin Percentage” is defined as Adjusted Gross Margin as a percentage of consolidated revenue.</w:t>
      </w:r>
    </w:p>
    <w:p>
      <w:pPr>
        <w:pStyle w:val="TextBody"/>
        <w:bidi w:val="0"/>
        <w:spacing w:before="0" w:after="240"/>
        <w:ind w:left="0" w:right="0" w:firstLine="360"/>
        <w:jc w:val="left"/>
        <w:rPr/>
      </w:pPr>
      <w:r>
        <w:rPr/>
        <w:t>“</w:t>
      </w:r>
      <w:r>
        <w:rPr>
          <w:rFonts w:ascii="Times New Roman;Times;serif" w:hAnsi="Times New Roman;Times;serif"/>
          <w:sz w:val="20"/>
        </w:rPr>
        <w:t>Adjusted Diluted EPS” is defined as Diluted EPS adjusted to exclude share based compensation, restructuring costs, non-qualified deferred compensation expenses, and the income tax effect of those adjustments at our estimated long-term annual effective tax rate.</w:t>
      </w:r>
    </w:p>
    <w:p>
      <w:pPr>
        <w:pStyle w:val="TextBody"/>
        <w:bidi w:val="0"/>
        <w:spacing w:before="0" w:after="240"/>
        <w:ind w:left="0" w:right="0" w:firstLine="360"/>
        <w:jc w:val="left"/>
        <w:rPr/>
      </w:pPr>
      <w:r>
        <w:rPr/>
        <w:t>“</w:t>
      </w:r>
      <w:r>
        <w:rPr>
          <w:rFonts w:ascii="Times New Roman;Times;serif" w:hAnsi="Times New Roman;Times;serif"/>
          <w:sz w:val="20"/>
        </w:rPr>
        <w:t>General and Administrative Expense Percentage” is defined as General and Administrative expenses as a percentage of consolidated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Non-GAAP Financial Measures for the Three and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net income (loss) attributable to Park Dental Partners, Inc. determined in accordance with GAAP to Adjusted EBITDA:</w:t>
      </w:r>
    </w:p>
    <w:tbl>
      <w:tblPr>
        <w:tblW w:w="8690" w:type="dxa"/>
        <w:jc w:val="left"/>
        <w:tblInd w:w="0" w:type="dxa"/>
        <w:tblLayout w:type="fixed"/>
        <w:tblCellMar>
          <w:top w:w="0" w:type="dxa"/>
          <w:left w:w="0" w:type="dxa"/>
          <w:bottom w:w="0" w:type="dxa"/>
          <w:right w:w="0" w:type="dxa"/>
        </w:tblCellMar>
      </w:tblPr>
      <w:tblGrid>
        <w:gridCol w:w="3811"/>
        <w:gridCol w:w="346"/>
        <w:gridCol w:w="223"/>
        <w:gridCol w:w="651"/>
        <w:gridCol w:w="394"/>
        <w:gridCol w:w="223"/>
        <w:gridCol w:w="651"/>
        <w:gridCol w:w="346"/>
        <w:gridCol w:w="196"/>
        <w:gridCol w:w="631"/>
        <w:gridCol w:w="346"/>
        <w:gridCol w:w="196"/>
        <w:gridCol w:w="67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419985" cy="175260"/>
                      <wp:effectExtent l="0" t="0" r="0" b="0"/>
                      <wp:wrapNone/>
                      <wp:docPr id="320" name="Frame320"/>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1605" cy="175260"/>
                      <wp:effectExtent l="0" t="0" r="0" b="0"/>
                      <wp:wrapNone/>
                      <wp:docPr id="322" name="Frame32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13385" cy="175260"/>
                      <wp:effectExtent l="0" t="0" r="0" b="0"/>
                      <wp:wrapNone/>
                      <wp:docPr id="323" name="Frame323"/>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50190" cy="175260"/>
                      <wp:effectExtent l="0" t="0" r="0" b="0"/>
                      <wp:wrapNone/>
                      <wp:docPr id="324" name="Frame32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1605" cy="175260"/>
                      <wp:effectExtent l="0" t="0" r="0" b="0"/>
                      <wp:wrapNone/>
                      <wp:docPr id="325" name="Frame32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13385" cy="175260"/>
                      <wp:effectExtent l="0" t="0" r="0" b="0"/>
                      <wp:wrapNone/>
                      <wp:docPr id="326" name="Frame32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24460" cy="175260"/>
                      <wp:effectExtent l="0" t="0" r="0" b="0"/>
                      <wp:wrapNone/>
                      <wp:docPr id="328" name="Frame3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00685" cy="175260"/>
                      <wp:effectExtent l="0" t="0" r="0" b="0"/>
                      <wp:wrapNone/>
                      <wp:docPr id="329" name="Frame3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460" cy="175260"/>
                      <wp:effectExtent l="0" t="0" r="0" b="0"/>
                      <wp:wrapNone/>
                      <wp:docPr id="331" name="Frame3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29260" cy="175260"/>
                      <wp:effectExtent l="0" t="0" r="0" b="0"/>
                      <wp:wrapNone/>
                      <wp:docPr id="332" name="Frame3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 to Adjusted EBITDA</w:t>
            </w:r>
          </w:p>
        </w:tc>
        <w:tc>
          <w:tcPr>
            <w:tcW w:w="346" w:type="dxa"/>
            <w:tcBorders/>
            <w:vAlign w:val="center"/>
          </w:tcPr>
          <w:p>
            <w:pPr>
              <w:pStyle w:val="TableContents"/>
              <w:bidi w:val="0"/>
              <w:spacing w:before="0" w:after="0"/>
              <w:ind w:left="0" w:right="0" w:hanging="0"/>
              <w:jc w:val="left"/>
              <w:rPr/>
            </w:pPr>
            <w:r>
              <w:rPr/>
              <w:t>​</w:t>
            </w:r>
          </w:p>
        </w:tc>
        <w:tc>
          <w:tcPr>
            <w:tcW w:w="2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4" w:type="dxa"/>
            <w:tcBorders/>
            <w:vAlign w:val="center"/>
          </w:tcPr>
          <w:p>
            <w:pPr>
              <w:pStyle w:val="TableContents"/>
              <w:bidi w:val="0"/>
              <w:spacing w:before="0" w:after="0"/>
              <w:ind w:left="0" w:right="0" w:hanging="0"/>
              <w:jc w:val="center"/>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Park Dental Partners, Inc.</w:t>
            </w:r>
          </w:p>
        </w:tc>
        <w:tc>
          <w:tcPr>
            <w:tcW w:w="34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Addback/(Deduct):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Provision/(Benefit)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1,894</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9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2,350</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394"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11,312</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w:t>
            </w:r>
          </w:p>
        </w:tc>
        <w:tc>
          <w:tcPr>
            <w:tcW w:w="39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w:t>
            </w:r>
          </w:p>
        </w:tc>
      </w:tr>
      <w:tr>
        <w:trPr/>
        <w:tc>
          <w:tcPr>
            <w:tcW w:w="381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394"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7,421</w:t>
            </w:r>
          </w:p>
        </w:tc>
        <w:tc>
          <w:tcPr>
            <w:tcW w:w="394"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13,017</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 Percentage</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94"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10.7%</w:t>
            </w:r>
          </w:p>
        </w:tc>
      </w:tr>
    </w:tbl>
    <w:p>
      <w:pPr>
        <w:pStyle w:val="TextBody"/>
        <w:bidi w:val="0"/>
        <w:spacing w:before="0" w:after="24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 for the three and six months ended June 30, 2026 primarily consist of expenses related to acquisition legal costs. Restructuring costs for the three and six months ended June 30, 2025 primarily consist of expenses incurred in connection with the Company’s initial public offering.</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costs primarily consist of expenses incurred with the Company's inactive deferred compensation arrangements.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EBITDA. </w:t>
      </w:r>
      <w:r>
        <w:rPr>
          <w:rFonts w:ascii="Times New Roman;Times;serif" w:hAnsi="Times New Roman;Times;serif"/>
          <w:sz w:val="20"/>
        </w:rPr>
        <w:t>Adjusted EBITDA for the three months ended June 30, 2026 was $7.4 million, a decrease of $0.2 million from the $7.6 million Adjusted EBITDA for the three months ended June 30, 2025, primarily due to the $0.7 million increase in general and administrative expenses after adjustment, offset in part by the $0.6 million increased Adjusted Gross margin. The increase in general and administrative expenses after adjustments is due to a $0.3 million increase in professional fees, a $0.2 million increase in insurance expenses, and $0.1 million higher marketing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for the six months ended June 30, 2026 was $12.2 million, a decrease of $0.8 million from the $13.0 million Adjusted EBITDA for the six months ended June 30, 2025, primarily due to the $1.7 million increase in general and administrative expenses after adjustment, offset in part by the $0.9 million increase in Adjusted Gross margin. The increase in general and administrative expenses after adjustments is due to a $0.6 million increase in professional fees, increased salaries and wages of $0.3 million, a $0.3 million increase in insurance expenses, $0.2 million higher marketing costs, and a $0.2 million net increase in benefits and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Measuring the year-over-year change in Adjusted EBITDA allows us to evaluate the overall operating performance of affiliated dental practices on a consistent basis. It also influences our decision-making process on allocation of resources and helps us evaluate the effectiveness of our strategies.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EBITDA Percentage. </w:t>
      </w:r>
      <w:r>
        <w:rPr>
          <w:rFonts w:ascii="Times New Roman;Times;serif" w:hAnsi="Times New Roman;Times;serif"/>
          <w:sz w:val="20"/>
        </w:rPr>
        <w:t>Adjusted EBITDA Percentage for the three months ended June 30, 2026 was 11.2%, a 80 basis point decrease from 12.0% for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Percentage for the six months ended June 30, 2026 was 9.4%, a 130 basis point decrease from 10.7%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in Adjusted EBITDA percentage for both the three and six months ended June 30, 2026 is primarily attributable to an increase in general and administrative expenses after adjustments.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Gross Margin determined in accordance with GAAP to Adjusted Gross Margin</w:t>
      </w:r>
    </w:p>
    <w:tbl>
      <w:tblPr>
        <w:tblW w:w="7910" w:type="dxa"/>
        <w:jc w:val="left"/>
        <w:tblInd w:w="0" w:type="dxa"/>
        <w:tblLayout w:type="fixed"/>
        <w:tblCellMar>
          <w:top w:w="0" w:type="dxa"/>
          <w:left w:w="0" w:type="dxa"/>
          <w:bottom w:w="0" w:type="dxa"/>
          <w:right w:w="0" w:type="dxa"/>
        </w:tblCellMar>
      </w:tblPr>
      <w:tblGrid>
        <w:gridCol w:w="3061"/>
        <w:gridCol w:w="346"/>
        <w:gridCol w:w="216"/>
        <w:gridCol w:w="664"/>
        <w:gridCol w:w="382"/>
        <w:gridCol w:w="216"/>
        <w:gridCol w:w="664"/>
        <w:gridCol w:w="346"/>
        <w:gridCol w:w="196"/>
        <w:gridCol w:w="601"/>
        <w:gridCol w:w="346"/>
        <w:gridCol w:w="196"/>
        <w:gridCol w:w="67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943735" cy="175260"/>
                      <wp:effectExtent l="0" t="0" r="0" b="0"/>
                      <wp:wrapNone/>
                      <wp:docPr id="333" name="Frame333"/>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7160" cy="175260"/>
                      <wp:effectExtent l="0" t="0" r="0" b="0"/>
                      <wp:wrapNone/>
                      <wp:docPr id="335" name="Frame33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1640" cy="175260"/>
                      <wp:effectExtent l="0" t="0" r="0" b="0"/>
                      <wp:wrapNone/>
                      <wp:docPr id="336" name="Frame336"/>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42570" cy="175260"/>
                      <wp:effectExtent l="0" t="0" r="0" b="0"/>
                      <wp:wrapNone/>
                      <wp:docPr id="337" name="Frame33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7160" cy="175260"/>
                      <wp:effectExtent l="0" t="0" r="0" b="0"/>
                      <wp:wrapNone/>
                      <wp:docPr id="338" name="Frame3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21640" cy="175260"/>
                      <wp:effectExtent l="0" t="0" r="0" b="0"/>
                      <wp:wrapNone/>
                      <wp:docPr id="339" name="Frame339"/>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4460" cy="175260"/>
                      <wp:effectExtent l="0" t="0" r="0" b="0"/>
                      <wp:wrapNone/>
                      <wp:docPr id="341" name="Frame3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81635" cy="175260"/>
                      <wp:effectExtent l="0" t="0" r="0" b="0"/>
                      <wp:wrapNone/>
                      <wp:docPr id="342" name="Frame3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45" name="Frame3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Margin to Adjusted Gross Margin</w:t>
            </w:r>
          </w:p>
        </w:tc>
        <w:tc>
          <w:tcPr>
            <w:tcW w:w="346" w:type="dxa"/>
            <w:tcBorders/>
            <w:vAlign w:val="center"/>
          </w:tcPr>
          <w:p>
            <w:pPr>
              <w:pStyle w:val="TableContents"/>
              <w:bidi w:val="0"/>
              <w:spacing w:before="0" w:after="0"/>
              <w:ind w:left="0" w:right="0" w:hanging="0"/>
              <w:jc w:val="left"/>
              <w:rPr/>
            </w:pPr>
            <w:r>
              <w:rPr/>
              <w:t>​</w:t>
            </w:r>
          </w:p>
        </w:tc>
        <w:tc>
          <w:tcPr>
            <w:tcW w:w="2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2" w:type="dxa"/>
            <w:tcBorders/>
            <w:vAlign w:val="center"/>
          </w:tcPr>
          <w:p>
            <w:pPr>
              <w:pStyle w:val="TableContents"/>
              <w:bidi w:val="0"/>
              <w:spacing w:before="0" w:after="0"/>
              <w:ind w:left="0" w:right="0" w:hanging="0"/>
              <w:jc w:val="center"/>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9,514</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11,906</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21,762</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Addback:</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2,798</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1,928</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14,673</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 Percentage</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Gross Margin.</w:t>
      </w:r>
      <w:r>
        <w:rPr>
          <w:rFonts w:ascii="Times New Roman;Times;serif" w:hAnsi="Times New Roman;Times;serif"/>
          <w:sz w:val="20"/>
        </w:rPr>
        <w:t> Adjusted Gross Margin for the three months ended June 30, 2026 was $14.7 million, an increase of $0.6 million, or 4.2%, from $14.1 million for the three months ended June 30, 2025, attributable to increased revenue of $3.2 million, partially offset by a $2.0 million increase in salaries and wages after adjustments, $0.3 million of increased other practice expenses after adjustments, and $0.3 million higher office occupancy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Gross Margin for the six months ended June 30, 2026 was $26.9 million, an increase of $0.9 million, or 3.4%, from $26.0 million for the six months ended June 30, 2025, attributable to increased revenue of $6.9 million, partially offset by a $4.5 million increase in salaries and wages after adjustments, $0.7 million of increased other practice expenses after adjustments, and $0.6 million higher office occupancy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Measuring the year-over-year change in Adjusted Gross Margin allows us to evaluate the profitability of affiliated dental practices and their performance. It also influences our decision-making process related to cost management strategies and helps us evaluate the effectiveness of those strategies.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Gross Margin Percentage. </w:t>
      </w:r>
      <w:r>
        <w:rPr>
          <w:rFonts w:ascii="Times New Roman;Times;serif" w:hAnsi="Times New Roman;Times;serif"/>
          <w:sz w:val="20"/>
        </w:rPr>
        <w:t>Adjusted Gross Margin Percentage for the three months ended June 30, 2026 was 22.2%, a 20 basis point decrease from 22.4% for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Gross Margin Percentage for the six months ended June 30, 2026 was 20.9%, a 40 basis point decrease from 21.3%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in Adjusted Gross Margin Percentage for both the three and six months ended June 30, 2026 is primarily attributable to an increase in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a reconciliation of our Diluted EPS determined in accordance with GAAP to Adjusted Diluted EPS:</w:t>
      </w:r>
    </w:p>
    <w:tbl>
      <w:tblPr>
        <w:tblW w:w="10205" w:type="dxa"/>
        <w:jc w:val="left"/>
        <w:tblInd w:w="0" w:type="dxa"/>
        <w:tblLayout w:type="fixed"/>
        <w:tblCellMar>
          <w:top w:w="0" w:type="dxa"/>
          <w:left w:w="0" w:type="dxa"/>
          <w:bottom w:w="0" w:type="dxa"/>
          <w:right w:w="0" w:type="dxa"/>
        </w:tblCellMar>
      </w:tblPr>
      <w:tblGrid>
        <w:gridCol w:w="5162"/>
        <w:gridCol w:w="109"/>
        <w:gridCol w:w="196"/>
        <w:gridCol w:w="826"/>
        <w:gridCol w:w="346"/>
        <w:gridCol w:w="196"/>
        <w:gridCol w:w="826"/>
        <w:gridCol w:w="109"/>
        <w:gridCol w:w="196"/>
        <w:gridCol w:w="826"/>
        <w:gridCol w:w="346"/>
        <w:gridCol w:w="196"/>
        <w:gridCol w:w="871"/>
      </w:tblGrid>
      <w:tr>
        <w:trPr/>
        <w:tc>
          <w:tcPr>
            <w:tcW w:w="5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277870" cy="175260"/>
                      <wp:effectExtent l="0" t="0" r="0" b="0"/>
                      <wp:wrapNone/>
                      <wp:docPr id="346" name="Frame346"/>
                      <a:graphic xmlns:a="http://schemas.openxmlformats.org/drawingml/2006/main">
                        <a:graphicData uri="http://schemas.microsoft.com/office/word/2010/wordprocessingShape">
                          <wps:wsp>
                            <wps:cNvSpPr txBox="1"/>
                            <wps:spPr>
                              <a:xfrm>
                                <a:off x="0" y="0"/>
                                <a:ext cx="327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48" name="Frame3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24510" cy="175260"/>
                      <wp:effectExtent l="0" t="0" r="0" b="0"/>
                      <wp:wrapNone/>
                      <wp:docPr id="349" name="Frame3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51"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24510" cy="175260"/>
                      <wp:effectExtent l="0" t="0" r="0" b="0"/>
                      <wp:wrapNone/>
                      <wp:docPr id="352"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4"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24510" cy="175260"/>
                      <wp:effectExtent l="0" t="0" r="0" b="0"/>
                      <wp:wrapNone/>
                      <wp:docPr id="355" name="Frame3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4460" cy="175260"/>
                      <wp:effectExtent l="0" t="0" r="0" b="0"/>
                      <wp:wrapNone/>
                      <wp:docPr id="357" name="Frame3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53085" cy="175260"/>
                      <wp:effectExtent l="0" t="0" r="0" b="0"/>
                      <wp:wrapNone/>
                      <wp:docPr id="358" name="Frame3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1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Diluted EPS to Adjusted Diluted EPS</w:t>
            </w:r>
          </w:p>
        </w:tc>
        <w:tc>
          <w:tcPr>
            <w:tcW w:w="109"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r>
      <w:tr>
        <w:trPr/>
        <w:tc>
          <w:tcPr>
            <w:tcW w:w="51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516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w:t>
            </w:r>
          </w:p>
        </w:tc>
      </w:tr>
      <w:tr>
        <w:trPr/>
        <w:tc>
          <w:tcPr>
            <w:tcW w:w="51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r>
      <w:tr>
        <w:trPr/>
        <w:tc>
          <w:tcPr>
            <w:tcW w:w="516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Income tax effect of the Adjustments</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NET INCOME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5,364</w:t>
            </w:r>
          </w:p>
        </w:tc>
      </w:tr>
      <w:tr>
        <w:trPr/>
        <w:tc>
          <w:tcPr>
            <w:tcW w:w="5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left"/>
              <w:rPr/>
            </w:pPr>
            <w:r>
              <w:rPr/>
              <w:t>​</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Weighted Average Diluted Shares - Reconciliation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1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USED IN COMPUTING GAAP NET EARNINGS PER SHARE, 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6,235,305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1,772,662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6,091,899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1,777,942</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WEIGHTED AVERAGE DILUTED SHARES USED IN COMPUTING ADJUSTED EARNINGS PER SHARE, 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6,235,305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1,772,662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6,091,899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1,777,942</w:t>
            </w:r>
          </w:p>
        </w:tc>
      </w:tr>
      <w:tr>
        <w:trPr/>
        <w:tc>
          <w:tcPr>
            <w:tcW w:w="5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3.02</w:t>
            </w:r>
          </w:p>
        </w:tc>
      </w:tr>
    </w:tbl>
    <w:p>
      <w:pPr>
        <w:pStyle w:val="TextBody"/>
        <w:bidi w:val="0"/>
        <w:spacing w:before="0" w:after="24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 for the three and six months ended June 30, 2026 primarily consist of expenses related to acquisition legal costs. Restructuring costs for the three and six months ended June 30, 2025 primarily consist of expenses incurred in connection with the Company’s initial public offering.</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costs primarily consist of expenses incurred with the Company's inactive deferred compensation arrangements.</w:t>
            </w:r>
          </w:p>
        </w:tc>
      </w:tr>
    </w:tbl>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 is based on an estimated long-term annual effective tax rate of 28% tax rate for the three and six months ended June 30, 2026 and June 30, 2025. The Company's estimated long-term annual effective tax rate excludes certain non-cash items such as share based compensation arrangements, and is used in order to provide consistency across periods.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Adjusted Diluted EPS. </w:t>
      </w:r>
      <w:r>
        <w:rPr>
          <w:rFonts w:ascii="Times New Roman;Times;serif" w:hAnsi="Times New Roman;Times;serif"/>
          <w:sz w:val="20"/>
        </w:rPr>
        <w:t>Adjusted Diluted EPS for the three months ended June 30, 2026 was $0.66, a $1.22 decrease from $1.88 for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Diluted EPS for the six months ended June 30, 2026 was $1.11, a $1.91 decrease from $3.02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for both the three and six months ended June 30, 2026 was primarily attributable to the increase in the weighted average dilutive securities used in computing adjusted diluted earnings per share due to the Company’s IPO in December 2025, partially offset by an increase in adjusted net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 Percentage. </w:t>
      </w:r>
      <w:r>
        <w:rPr>
          <w:rFonts w:ascii="Times New Roman;Times;serif" w:hAnsi="Times New Roman;Times;serif"/>
          <w:sz w:val="20"/>
        </w:rPr>
        <w:t>General and Administrative Expense Percentage for the three months ended June 30, 2026 was 11.8%, a 10 basis point increase from 11.7% for the three months ended June 30, 2025. This increase is attributable to a $0.6 million increase in professional fees, $0.2 million higher share based compensation costs related to becoming a publicly-traded company in the fourth quarter of 2025, a $0.2 million increase in insurance costs, net of $0.8 million lower costs associated with our 2025 initial public offering and increased revenue.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General and Administrative Expense Percentage for the six months ended June 30, 2026 was 12.2%, a 50 basis point increase from 11.7% for the six months ended June 30, 2025. This increase is attributable to a $0.9 million increase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professional fees, $0.6 million higher share based compensation costs related to becoming a publicly-traded company in the fourth quarter of 2025, $0.3 million increase in salaries and wages, $0.3 million increase in insurance costs, and increased marketing costs of $0.2 million, net of $1.3 million lower costs associated with our 2025 initial public offering and increased revenue.</w:t>
      </w:r>
    </w:p>
    <w:p>
      <w:pPr>
        <w:pStyle w:val="TextBody"/>
        <w:bidi w:val="0"/>
        <w:spacing w:before="0" w:after="240"/>
        <w:ind w:left="40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finance our operations and growth through a combination of cash provided by operating activities and borrowings under our revolving loan facility. Cash and cash equivalents was $24.4 million at June 30, 2026, and $25.2 million at December 31, 2025. At June 30, 2026 and December 31, 2025, we had total outstanding borrowings under our debt arrangements of approximately $11.0 million and $12.0 million, respectively. Unused availability under our line of credit was approximately $15 million at June 30, 2026 and December 31, 2025. </w:t>
      </w:r>
      <w:r>
        <w:rPr>
          <w:rFonts w:ascii="TimesNewRoman" w:hAnsi="TimesNewRoman"/>
          <w:sz w:val="20"/>
        </w:rPr>
        <w:t>In addition, subject to the terms of the credit agreement and the lender’s consent in its sole discretion, we may request increases in the revolving commitment of up to an aggregate additional $10.0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and our expected cash flows from operations will be sufficient to meet our cash needs for operations for at least the next 12 months. Over the longer term, our future capital requirements will depend on many factors, including our growth rate, the timing and extent of our dental services expenditures, the continuing market acceptance of our offerings, and any investments or acquisitions we may choose to pursue in the future. In the event that we need to borrow funds or issue additional equity, we cannot be assured that any such additional financing will be available on terms acceptable to us, if at all. In addition, any future borrowings may result in additional restrictions on our business and any issuance of additional equity would result in dilution to investors. If we are unable to raise additional capital when desired and on terms acceptable to us, our business, results of operations, and financial condition could be materially and adversely affected.</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flows provided by operating activities were $9.7 million for the six months ended June 30, 2026, compared to $9.2 million for the six months ended June 30, 2025. The $0.5 million increase in cash flows provided by operating activities was due primarily to a $2.6 million increase in net income after adjustments for non-cash items, offset in part by a net decrease in changes in operating assets and liabilities of $2.1 million.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Cashflows used in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investing activities are primarily related to capital expenditures for practice growth and expansion, replacing obsolescent assets, and adding capital improvements in existing facilities and technology related projects.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flows used in investing activities were $8.2 million and $5.8 million for the six months ended June 30, 2026 and 2025, respectively. Cash used in investing activities increased due to increased purchases of property and equipment of $0.8 million, $1.6 million higher payments for purchases of dental practices, and $0.6 million of loans to related parties evidenced by promissory notes, offset in part by a $0.6 million reduction in life insurance premiums paid.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Cashflows used 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flows used in financing activities primarily reflect our borrowings and repayments under our current and prior credit facilities which were refinanced in March 2024, and amended subsequently in February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flows used in financing activities for the six months ended June 30, 2026 were $2.3 million compared with $3.2 million for the six months ended June 30, 2025. The $0.9 million decrease primarily reflected the absence of $0.4 million of pre-IPO share repurchases, a $0.3 million decrease in checks issued in excess of cash balances and a $0.2 million decrease in dental practice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Outstanding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Amounts outstanding under our bank term loan were $8.8 million and $9.8 million at June 30, 2026, and December 31, 2025, respectively. During the three and six months ended June 30, 2026 we made scheduled principal payments of $0.5 million and $0.9 million, respectively. At both June 30, 2026, and December 31, 2025, we had no outstanding balance under the line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27, 2024, we entered into a new credit agreement which amended the existing agreement and provided for a new $13.0 million term loan and amended the line of credit to $15.0 million from the prior $23 million. The term loan matures in March 2029 and carries an interest rate equal to the one-month SOFR rate plus 2.10%. The amended agreement also permits us to request an increase in the revolving commitment of up to an additional $10 million, subject to the terms of the credit agreement. The amended line of credit extended the maturity from March 2024 to March 2027 and carries an interest rate equal to the one-month SOFR rate plus 2.00%.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13, 2026, the Company entered into an amendment to its credit agreement. The amendment extends availability under the line of credit to March 27, 2029, updates certain financial covenants and definitions, and provides consent for the formation of a new subsidiary.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w:t>
      </w:r>
      <w:r>
        <w:rPr>
          <w:rFonts w:ascii="TimesNewRoman" w:hAnsi="TimesNewRoman"/>
          <w:sz w:val="20"/>
        </w:rPr>
        <w:t>n April 30, 2026, the Company entered into a second amendment to the credit agreement that added the Company’s Arizona subsidiary as a co-borrower and modified certain subsidiary and acquisition-related provisions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agreement requires, among other things, that we comply with a minimum fixed charge coverage ratio and a total cash flow leverage ratio. In addition, the agreement contains standard negative covenants that, among other things, limit our ability to undertake individual business combinations in excess of specified limits; incur and pay certain indebtedness; create, incur, or assume certain liens and negative pledges; sell, lease, convey, transfer or otherwise dispose of certain assets; liquidate or dissolve any of our subsidiaries; make certain loans and investments; make certain dividends and redemptions; substantially change the nature of our business; and effect certain changes in ownership or control beyond specified thresholds.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were in compliance with all covenants specified in the credit agreement at June 30, 2026 and December 31, 2025 including the fixed charge coverage and cash flow leverage ratios. We believe, based on our current financial forecasts and trends, that we will remain compliant with all covenants for the foreseeable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obligations under the credit facilities are secured by a first priority lien on substantially all of our tangible and intangible assets and the tangible and intangible business assets of the affiliated dental practices.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aforementioned credit facilities, we have secured notes payable of $2.2 million due to related parties and certain current and former shareholders. The principal is due at maturity and interest is due quarterly through October 1, 2037. Interest is equal to the greater of 14% of the principal balance or an amount based on a formula using average dentist compensation or a formula based on total revenue. The effective interest rate for 2026 is 24.5% compared to 25.7% in 2025. The notes are secured by all of our business assets and the affiliated dental practices and are subordinated to the bank term loan and the line of credit. The notes are subject to significant prepayment restrictions.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liquidity are cash provided by operations and available borrowings under our revolving loan facility. </w:t>
      </w:r>
      <w:r>
        <w:rPr>
          <w:rFonts w:ascii="TimesNewRoman" w:hAnsi="TimesNewRoman"/>
          <w:sz w:val="20"/>
        </w:rPr>
        <w:t>At the consolidated level, our principal source of operating cash is collections of patient-service revenue by our affiliated dental practices.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Deferred Compensation</w:t>
      </w:r>
      <w:r>
        <w:rPr>
          <w:rFonts w:ascii="Times New Roman;Times;serif" w:hAnsi="Times New Roman;Times;serif"/>
          <w:sz w:val="20"/>
        </w:rPr>
        <w:t> — Our deferred compensation obligation, including current and non-current obligations was $71.6 million and $70.6 million at June 30, 2026 and December 31, 2025, respectively, and primarily consisted of active non-qualified deferred compensation plans and other inactive deferred compensation plans.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Non-qualified Deferred Compensation Plans </w:t>
      </w:r>
      <w:r>
        <w:rPr>
          <w:rFonts w:ascii="Times New Roman;Times;serif" w:hAnsi="Times New Roman;Times;serif"/>
          <w:sz w:val="20"/>
        </w:rPr>
        <w:t>— We and our affiliated dental practices utilize non-qualified deferred compensation plans that provide participants the opportunity to defer compensation on a pretax basis. Benefit payments to participants are available upon termination of employment, disability, death, unforeseeable emergencies, a change-in-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control event, as defined, or qualified planned in-service distributions. The agreement provides eligible participants the option to receive payment in a lump sum distribution or up to five annual installments. Participants are immediately 100% vested in their voluntary deferred compensation contributions. Participants are fully vested in employer credits after five years of service. Participant accounts are credited with deferred compensation contributions and earnings thereon, as defined. At June 30, 2026 and December 31, 2025, the total deferred compensation liability related to the non-qualified deferred compensation plans was $24.9 million and $23.0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Deferred Compensation Plans</w:t>
      </w:r>
      <w:r>
        <w:rPr>
          <w:rFonts w:ascii="Times New Roman;Times;serif" w:hAnsi="Times New Roman;Times;serif"/>
          <w:sz w:val="20"/>
        </w:rPr>
        <w:t xml:space="preserve"> – </w:t>
      </w:r>
      <w:r>
        <w:rPr>
          <w:rFonts w:ascii="Times New Roman;Times;serif" w:hAnsi="Times New Roman;Times;serif"/>
          <w:i/>
          <w:sz w:val="20"/>
        </w:rPr>
        <w:t>Inactive</w:t>
      </w:r>
      <w:r>
        <w:rPr>
          <w:rFonts w:ascii="Times New Roman;Times;serif" w:hAnsi="Times New Roman;Times;serif"/>
          <w:sz w:val="20"/>
        </w:rPr>
        <w:t xml:space="preserve"> — Our affiliated dental practices have professional and executive deferred compensation plans, and have executed employment agreements with certain dentists, executives and professional employees. These agreements provided for the creation of deferred compensation balances for eligible employees in the event of separation from service. These plans were frozen prior to January 1, 2024. At June 30, 2026 and December 31, 2025, the total of these other inactive deferred compensation plans were $46.7 million and $47.6 million, respectively. This deferred compensation value is fixed and non-interest bearing. The deferred compensation balances are generally to be paid over a period of five years from the date of the participants separation from the groups, subject to certain limitation. One plan, comprising the significant majority of the balance has an annual maximum cap on payments at 2% of the respective Company’s annual adjusted gross revenue, as defined in the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not adopted any new accounting standards in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 to the Company’s condensed consolidated financial statements for a discussion of recently issued but not yet adopted accounting pronouncements.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8" w:name="Item3QuantitativeandQualitativeDisclosur"/>
      <w:bookmarkStart w:id="1069" w:name="_65ed9cf1_742e_4fec_adb9_82e8543a3a61"/>
      <w:bookmarkEnd w:id="1068"/>
      <w:bookmarkEnd w:id="1069"/>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as defined in Rule 12b-2 of the Exchange Act, we are not required to provide the information called for by this Item.</w:t>
      </w:r>
    </w:p>
    <w:p>
      <w:pPr>
        <w:pStyle w:val="TextBody"/>
        <w:bidi w:val="0"/>
        <w:spacing w:before="0" w:after="240"/>
        <w:ind w:left="0" w:right="0" w:hanging="0"/>
        <w:jc w:val="left"/>
        <w:rPr>
          <w:rFonts w:ascii="Times New Roman;Times;serif" w:hAnsi="Times New Roman;Times;serif"/>
          <w:b/>
          <w:sz w:val="20"/>
        </w:rPr>
      </w:pPr>
      <w:bookmarkStart w:id="1070" w:name="Item4ControlsandProcedures_951758"/>
      <w:bookmarkStart w:id="1071" w:name="_c1099c27_4a71_425f_a312_da421b42321a"/>
      <w:bookmarkEnd w:id="1070"/>
      <w:bookmarkEnd w:id="1071"/>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Effectiveness of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2026, our disclosure controls and procedures were effective to provide reasonable assurance that information required to be disclosed by the Company in reports that it files or submits under the Exchange Act is recorded, processed, summarized, and reported within the time periods specified in SEC rules and forms, and is accumulated and communicated to management, including its principal executive officer and principal financial officer, as appropriate,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significant changes in our internal control over financial reporting (as defined in Rules 13a-15(f) and 15d-15(f) under the Exchange Act) that occurred during the quarter ended June 30, 2026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Effectiveness of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including our Chief Executive Officer (principal executive officer) and our Chief Financial Officer (principal accounting and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Because of the inherent limitations in a cost-effective control system, misstatements due to error or fraud may occur and not be detected.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2" w:name="PARTIIOTHERINFORMATION_996238"/>
      <w:bookmarkStart w:id="1073" w:name="_7f255772_6d01_4a84_b40b_8642a1da55cd"/>
      <w:bookmarkEnd w:id="1072"/>
      <w:bookmarkEnd w:id="1073"/>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74" w:name="Item1LegalProceedings_301166"/>
      <w:bookmarkEnd w:id="1074"/>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our affiliated dental practices have been named as a defendant in lawsuits from time to time in the normal course of business, primarily for employment liability, alleged negligence in care or general liability and contractual business disputes. We do not believe any pending lawsuits will have a material adverse effect on our operating results, cash flows, liquidity or financial position.</w:t>
      </w:r>
    </w:p>
    <w:p>
      <w:pPr>
        <w:pStyle w:val="TextBody"/>
        <w:bidi w:val="0"/>
        <w:spacing w:before="0" w:after="240"/>
        <w:ind w:left="0" w:right="0" w:firstLine="360"/>
        <w:jc w:val="left"/>
        <w:rPr>
          <w:rFonts w:ascii="TimesNewRoman" w:hAnsi="TimesNewRoman"/>
          <w:sz w:val="20"/>
        </w:rPr>
      </w:pPr>
      <w:r>
        <w:rPr>
          <w:rFonts w:ascii="TimesNewRoman" w:hAnsi="TimesNewRoman"/>
          <w:sz w:val="20"/>
        </w:rPr>
        <w:t xml:space="preserve">In 2024, multiple claims were filed against us in state and federal courts in Minnesota based on a data breach event. Subsequently, certain of the claims were dismissed; however, the putative class action suit in Minnesota District Court entitled, In re Park Dental Data Breach Litigation, Case No. 27-CV-24-12335, Fourth Judicial District, County of Hennepin, State of Minnesota continues. We presently believe the settlement of this matter is probable. We expect the settlement, net of insurance recoveries, will have an immaterial impact to our financial results as we anticipate the costs to settle will be fully recovered under our insurance policy coverage. </w:t>
      </w:r>
    </w:p>
    <w:p>
      <w:pPr>
        <w:pStyle w:val="TextBody"/>
        <w:bidi w:val="0"/>
        <w:spacing w:before="0" w:after="240"/>
        <w:ind w:left="0" w:right="0" w:hanging="0"/>
        <w:jc w:val="left"/>
        <w:rPr>
          <w:rFonts w:ascii="Times New Roman;Times;serif" w:hAnsi="Times New Roman;Times;serif"/>
          <w:b/>
          <w:sz w:val="20"/>
        </w:rPr>
      </w:pPr>
      <w:bookmarkStart w:id="1075" w:name="Item1ARiskFactors_592728"/>
      <w:bookmarkStart w:id="1076" w:name="_7ebcab99_324e_4b8c_9a01_b39500a89398"/>
      <w:bookmarkEnd w:id="1075"/>
      <w:bookmarkEnd w:id="1076"/>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and other cautionary statements described in “Item 1A. Risk Factors” in our Annual Report, which could materially affect our business, financial condition or future results. There have been no material changes to the risk factors described in our Annual Report.</w:t>
      </w:r>
    </w:p>
    <w:p>
      <w:pPr>
        <w:pStyle w:val="TextBody"/>
        <w:bidi w:val="0"/>
        <w:spacing w:before="0" w:after="240"/>
        <w:ind w:left="0" w:right="0" w:hanging="0"/>
        <w:jc w:val="left"/>
        <w:rPr>
          <w:rFonts w:ascii="Times New Roman;Times;serif" w:hAnsi="Times New Roman;Times;serif"/>
          <w:b/>
          <w:sz w:val="20"/>
        </w:rPr>
      </w:pPr>
      <w:bookmarkStart w:id="1077" w:name="Item2UnregisteredSalesofEquitySecurities"/>
      <w:bookmarkStart w:id="1078" w:name="_120d59f0_5cd0_47e2_9136_0cfb2b56193f"/>
      <w:bookmarkEnd w:id="1077"/>
      <w:bookmarkEnd w:id="1078"/>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repurchase any of its common stock during the quarter ended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in the use of proceeds from our initial public offering as previously disclosed in our Annual Report.</w:t>
      </w:r>
    </w:p>
    <w:p>
      <w:pPr>
        <w:pStyle w:val="TextBody"/>
        <w:bidi w:val="0"/>
        <w:spacing w:before="0" w:after="240"/>
        <w:ind w:left="0" w:right="0" w:hanging="0"/>
        <w:jc w:val="left"/>
        <w:rPr>
          <w:rFonts w:ascii="Times New Roman;Times;serif" w:hAnsi="Times New Roman;Times;serif"/>
          <w:b/>
          <w:sz w:val="20"/>
        </w:rPr>
      </w:pPr>
      <w:bookmarkStart w:id="1079" w:name="_04b30206_18f9_4a2f_a8de_76234be94ff5"/>
      <w:bookmarkStart w:id="1080" w:name="Item3DefaultsUponSeniorSecurities"/>
      <w:bookmarkEnd w:id="1079"/>
      <w:bookmarkEnd w:id="1080"/>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1" w:name="Item4MineSafetyDisclosures_963621"/>
      <w:bookmarkStart w:id="1082" w:name="_d808d187_6c10_4b0d_9aa6_eb63b1d0bbc1"/>
      <w:bookmarkEnd w:id="1081"/>
      <w:bookmarkEnd w:id="1082"/>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083" w:name="Item5Otherinformation_405304"/>
      <w:bookmarkStart w:id="1084" w:name="_a6e185b7_b3ca_48eb_adfa_493b839f0d6b"/>
      <w:bookmarkEnd w:id="1083"/>
      <w:bookmarkEnd w:id="1084"/>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Insider Trading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quarter ended June 30, 2026, none of our directors or officers, as defined in Rule 16a-1(f) under the Exchange Act, adopted or terminated a “Rule 10b5-1 trading arrangement” or a “non-Rule 10b5-1 trading arrangement,” each as defined in Item 408(c)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5" w:name="Item6Exhibits_388558"/>
      <w:bookmarkStart w:id="1086" w:name="_6b4e4b38_418b_437e_a382_8b24ed9a2546"/>
      <w:bookmarkEnd w:id="1085"/>
      <w:bookmarkEnd w:id="1086"/>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(a)Exhibits</w:t>
      </w:r>
    </w:p>
    <w:tbl>
      <w:tblPr>
        <w:tblW w:w="10205" w:type="dxa"/>
        <w:jc w:val="left"/>
        <w:tblInd w:w="0" w:type="dxa"/>
        <w:tblLayout w:type="fixed"/>
        <w:tblCellMar>
          <w:top w:w="0" w:type="dxa"/>
          <w:left w:w="0" w:type="dxa"/>
          <w:bottom w:w="0" w:type="dxa"/>
          <w:right w:w="0" w:type="dxa"/>
        </w:tblCellMar>
      </w:tblPr>
      <w:tblGrid>
        <w:gridCol w:w="759"/>
        <w:gridCol w:w="7123"/>
        <w:gridCol w:w="526"/>
        <w:gridCol w:w="676"/>
        <w:gridCol w:w="1121"/>
      </w:tblGrid>
      <w:tr>
        <w:trPr/>
        <w:tc>
          <w:tcPr>
            <w:tcW w:w="759" w:type="dxa"/>
            <w:tcBorders/>
            <w:vAlign w:val="center"/>
          </w:tcPr>
          <w:p>
            <w:pPr>
              <w:pStyle w:val="TableContents"/>
              <w:bidi w:val="0"/>
              <w:spacing w:before="0" w:after="283"/>
              <w:ind w:left="0" w:right="0" w:hanging="0"/>
              <w:jc w:val="left"/>
              <w:rPr>
                <w:sz w:val="4"/>
                <w:szCs w:val="4"/>
              </w:rPr>
            </w:pPr>
            <w:r>
              <w:rPr>
                <w:sz w:val="4"/>
                <w:szCs w:val="4"/>
              </w:rPr>
            </w:r>
          </w:p>
        </w:tc>
        <w:tc>
          <w:tcPr>
            <w:tcW w:w="7123" w:type="dxa"/>
            <w:tcBorders/>
            <w:vAlign w:val="center"/>
          </w:tcPr>
          <w:p>
            <w:pPr>
              <w:pStyle w:val="TableContents"/>
              <w:bidi w:val="0"/>
              <w:spacing w:before="0" w:after="283"/>
              <w:ind w:left="0" w:right="0" w:hanging="0"/>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1121" w:type="dxa"/>
            <w:tcBorders/>
            <w:vAlign w:val="center"/>
          </w:tcPr>
          <w:p>
            <w:pPr>
              <w:pStyle w:val="TableContents"/>
              <w:bidi w:val="0"/>
              <w:spacing w:before="0" w:after="283"/>
              <w:ind w:left="0" w:right="0" w:hanging="0"/>
              <w:jc w:val="left"/>
              <w:rPr>
                <w:sz w:val="4"/>
                <w:szCs w:val="4"/>
              </w:rPr>
            </w:pPr>
            <w:r>
              <w:rPr>
                <w:sz w:val="4"/>
                <w:szCs w:val="4"/>
              </w:rPr>
            </w:r>
          </w:p>
        </w:tc>
      </w:tr>
      <w:tr>
        <w:trPr/>
        <w:tc>
          <w:tcPr>
            <w:tcW w:w="759"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Exhibit No.</w:t>
            </w:r>
          </w:p>
        </w:tc>
        <w:tc>
          <w:tcPr>
            <w:tcW w:w="7123"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11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Filed with the SEC</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2.1</w:t>
            </w:r>
          </w:p>
        </w:tc>
        <w:tc>
          <w:tcPr>
            <w:tcW w:w="7123" w:type="dxa"/>
            <w:tcBorders/>
            <w:shd w:fill="CCEE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Transaction Agreement, dated as of August 7, 2026, by and among Park Dental Partners, Inc., Ryan &amp; Associates LLP, Ryan, James, Wiles, Patel, and Olsen, D.D.S., PLLC, Ryan, James, Wiles, Patel &amp; Olsen LLP, Ryan, James &amp; Associates LLP and the beneficial owners named therein.</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08/10/2026</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w:t>
            </w:r>
          </w:p>
        </w:tc>
        <w:tc>
          <w:tcPr>
            <w:tcW w:w="712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2"/>
                </w:rPr>
                <w:t>Fourth Amended and Restated Articles of Incorporation of Park Dental Partners, Inc.</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3.3</w:t>
            </w:r>
          </w:p>
        </w:tc>
        <w:tc>
          <w:tcPr>
            <w:tcW w:w="7123"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Bylaws of Park Dental Partners, Inc., dated October 31, 2023</w:t>
              </w:r>
            </w:hyperlink>
            <w:r>
              <w:rPr>
                <w:rFonts w:ascii="Times New Roman;Times;serif" w:hAnsi="Times New Roman;Times;serif"/>
                <w:sz w:val="18"/>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3.4</w:t>
            </w:r>
          </w:p>
        </w:tc>
        <w:tc>
          <w:tcPr>
            <w:tcW w:w="712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2"/>
                </w:rPr>
                <w:t>Amendment No. 1 to Bylaws of Park Dental Partners, Inc., dated December 4, 2024.</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w:t>
            </w:r>
          </w:p>
        </w:tc>
        <w:tc>
          <w:tcPr>
            <w:tcW w:w="7123"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2"/>
                </w:rPr>
                <w:t>Amended and Restated Credit Agreement, dated March 27, 2024, by and among Park Dental Partners, Inc., certain affiliated borrower entities, and U.S. Bank National Association.</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09/03/2025</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10.2</w:t>
            </w:r>
          </w:p>
        </w:tc>
        <w:tc>
          <w:tcPr>
            <w:tcW w:w="712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2"/>
                </w:rPr>
                <w:t>Amendment Agreement, dated as of February 13, 2026 (effective January 1, 2026), by and among Park Dental Partners, Inc., certain affiliated borrower entities, and U.S. Bank National Association.</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02/19/2026</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10.3</w:t>
            </w:r>
          </w:p>
        </w:tc>
        <w:tc>
          <w:tcPr>
            <w:tcW w:w="7123" w:type="dxa"/>
            <w:tcBorders/>
            <w:shd w:fill="CCEE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2"/>
                </w:rPr>
                <w:t>Second Amendment Agreement, dated as of April 30, 2026, by and among Park Dental Partners, Inc., certain affiliated borrower entities, and U.S. Bank National Association.</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05/14/2026</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31.1</w:t>
            </w:r>
          </w:p>
        </w:tc>
        <w:tc>
          <w:tcPr>
            <w:tcW w:w="7123" w:type="dxa"/>
            <w:tcBorders/>
            <w:vAlign w:val="center"/>
          </w:tcPr>
          <w:p>
            <w:pPr>
              <w:pStyle w:val="TableContents"/>
              <w:bidi w:val="0"/>
              <w:spacing w:before="0" w:after="0"/>
              <w:ind w:left="0" w:right="0" w:hanging="0"/>
              <w:jc w:val="left"/>
              <w:rPr/>
            </w:pPr>
            <w:hyperlink w:anchor="park-20260630xex31d1.htm">
              <w:r>
                <w:rPr>
                  <w:rStyle w:val="InternetLink"/>
                  <w:rFonts w:ascii="Times New Roman;Times;serif" w:hAnsi="Times New Roman;Times;serif"/>
                  <w:b w:val="false"/>
                  <w:i w:val="false"/>
                  <w:caps w:val="false"/>
                  <w:smallCaps w:val="false"/>
                  <w:sz w:val="22"/>
                </w:rPr>
                <w:t>Certification of Chief Executive Officer pursuant to Section 302 of the Sarbanes-Oxley Act of 2002.</w:t>
              </w:r>
            </w:hyperlink>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31.2</w:t>
            </w:r>
          </w:p>
        </w:tc>
        <w:tc>
          <w:tcPr>
            <w:tcW w:w="7123" w:type="dxa"/>
            <w:tcBorders/>
            <w:shd w:fill="CCEEFF" w:val="clear"/>
            <w:vAlign w:val="center"/>
          </w:tcPr>
          <w:p>
            <w:pPr>
              <w:pStyle w:val="TableContents"/>
              <w:bidi w:val="0"/>
              <w:spacing w:before="0" w:after="0"/>
              <w:ind w:left="0" w:right="0" w:hanging="0"/>
              <w:jc w:val="left"/>
              <w:rPr/>
            </w:pPr>
            <w:hyperlink w:anchor="park-20260630xex31d2.htm">
              <w:r>
                <w:rPr>
                  <w:rStyle w:val="InternetLink"/>
                  <w:rFonts w:ascii="Times New Roman;Times;serif" w:hAnsi="Times New Roman;Times;serif"/>
                  <w:b w:val="false"/>
                  <w:i w:val="false"/>
                  <w:caps w:val="false"/>
                  <w:smallCaps w:val="false"/>
                  <w:sz w:val="22"/>
                </w:rPr>
                <w:t>Certification of Chief Financial Officer pursuant to Section 302 of the Sarbanes-Oxley Act of 2002.</w:t>
              </w:r>
            </w:hyperlink>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32.1</w:t>
            </w:r>
          </w:p>
        </w:tc>
        <w:tc>
          <w:tcPr>
            <w:tcW w:w="7123" w:type="dxa"/>
            <w:tcBorders/>
            <w:vAlign w:val="center"/>
          </w:tcPr>
          <w:p>
            <w:pPr>
              <w:pStyle w:val="TableContents"/>
              <w:bidi w:val="0"/>
              <w:spacing w:before="0" w:after="0"/>
              <w:ind w:left="0" w:right="0" w:hanging="0"/>
              <w:jc w:val="left"/>
              <w:rPr/>
            </w:pPr>
            <w:hyperlink w:anchor="park-20260630xex32d1.htm">
              <w:r>
                <w:rPr>
                  <w:rStyle w:val="InternetLink"/>
                  <w:rFonts w:ascii="Times New Roman;Times;serif" w:hAnsi="Times New Roman;Times;serif"/>
                  <w:b w:val="false"/>
                  <w:i w:val="false"/>
                  <w:caps w:val="false"/>
                  <w:smallCaps w:val="false"/>
                  <w:sz w:val="22"/>
                </w:rPr>
                <w:t>Certification of Chief Executive Officer pursuant to 18 U.S.C. Section 1350, as adopted pursuant to Section 906 of the Sarbanes-Oxley Act of 2002.</w:t>
              </w:r>
            </w:hyperlink>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Furnished herewith</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32.2</w:t>
            </w:r>
          </w:p>
        </w:tc>
        <w:tc>
          <w:tcPr>
            <w:tcW w:w="7123" w:type="dxa"/>
            <w:tcBorders/>
            <w:shd w:fill="CCEEFF" w:val="clear"/>
            <w:vAlign w:val="center"/>
          </w:tcPr>
          <w:p>
            <w:pPr>
              <w:pStyle w:val="TableContents"/>
              <w:bidi w:val="0"/>
              <w:spacing w:before="0" w:after="0"/>
              <w:ind w:left="0" w:right="0" w:hanging="0"/>
              <w:jc w:val="left"/>
              <w:rPr/>
            </w:pPr>
            <w:hyperlink w:anchor="park-20260630xex32d2.htm">
              <w:r>
                <w:rPr>
                  <w:rStyle w:val="InternetLink"/>
                  <w:rFonts w:ascii="Times New Roman;Times;serif" w:hAnsi="Times New Roman;Times;serif"/>
                  <w:b w:val="false"/>
                  <w:i w:val="false"/>
                  <w:caps w:val="false"/>
                  <w:smallCaps w:val="false"/>
                  <w:sz w:val="22"/>
                </w:rPr>
                <w:t>Certification of Chief Financial Officer pursuant to 18 U.S.C. Section 1350, as adopted pursuant to Section 906 of the Sarbanes-Oxley Act of 2002.</w:t>
              </w:r>
            </w:hyperlink>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Furnished herewith</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101.INS</w:t>
            </w:r>
          </w:p>
        </w:tc>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 the instance document does not appear in the Interactive Data File because its XBRL tags are embedded within the Inline XBRL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101.SCH</w:t>
            </w:r>
          </w:p>
        </w:tc>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101.CAL</w:t>
            </w:r>
          </w:p>
        </w:tc>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101.DEF</w:t>
            </w:r>
          </w:p>
        </w:tc>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101.LAB</w:t>
            </w:r>
          </w:p>
        </w:tc>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101.PRE</w:t>
            </w:r>
          </w:p>
        </w:tc>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5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1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r>
        <w:trPr/>
        <w:tc>
          <w:tcPr>
            <w:tcW w:w="759" w:type="dxa"/>
            <w:tcBorders/>
            <w:shd w:fill="FFFFFF" w:val="clear"/>
            <w:vAlign w:val="center"/>
          </w:tcPr>
          <w:p>
            <w:pPr>
              <w:pStyle w:val="TableContents"/>
              <w:bidi w:val="0"/>
              <w:spacing w:before="0" w:after="0"/>
              <w:ind w:left="0" w:right="0" w:hanging="0"/>
              <w:jc w:val="center"/>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104</w:t>
            </w:r>
          </w:p>
        </w:tc>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5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1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Filed herewith</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7" w:name="_c20c7159_f0b3_4211_aeae_30ec309461f9"/>
      <w:bookmarkStart w:id="1088" w:name="Signatures"/>
      <w:bookmarkEnd w:id="1087"/>
      <w:bookmarkEnd w:id="1088"/>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152" w:type="dxa"/>
        <w:jc w:val="left"/>
        <w:tblInd w:w="0" w:type="dxa"/>
        <w:tblLayout w:type="fixed"/>
        <w:tblCellMar>
          <w:top w:w="0" w:type="dxa"/>
          <w:left w:w="0" w:type="dxa"/>
          <w:bottom w:w="0" w:type="dxa"/>
          <w:right w:w="0" w:type="dxa"/>
        </w:tblCellMar>
      </w:tblPr>
      <w:tblGrid>
        <w:gridCol w:w="1951"/>
        <w:gridCol w:w="7201"/>
      </w:tblGrid>
      <w:tr>
        <w:trPr/>
        <w:tc>
          <w:tcPr>
            <w:tcW w:w="195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INC.</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720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Bernander</w:t>
            </w:r>
          </w:p>
        </w:tc>
      </w:tr>
      <w:tr>
        <w:trPr/>
        <w:tc>
          <w:tcPr>
            <w:tcW w:w="195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Bernander,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(Duly Authorized Officer, 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0"/>
        <w:ind w:left="0" w:right="0" w:hanging="0"/>
        <w:jc w:val="center"/>
        <w:rPr>
          <w:rFonts w:ascii="Times New Roman;Times;serif" w:hAnsi="Times New Roman;Times;serif"/>
          <w:b/>
          <w:sz w:val="20"/>
        </w:rPr>
      </w:pPr>
      <w:bookmarkStart w:id="1089" w:name="_Hlk224724429"/>
      <w:bookmarkStart w:id="1090" w:name="park-20260630xex31d1.htm"/>
      <w:bookmarkStart w:id="1091" w:name="kspark20260630xex31d1"/>
      <w:bookmarkEnd w:id="1089"/>
      <w:bookmarkEnd w:id="1090"/>
      <w:bookmarkEnd w:id="1091"/>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REQUIRED BY 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Peter G. Swenson, certify that:</w:t>
      </w:r>
    </w:p>
    <w:p>
      <w:pPr>
        <w:pStyle w:val="TextBody"/>
        <w:bidi w:val="0"/>
        <w:spacing w:lineRule="auto" w:line="285"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Park Dental Partners,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285" w:before="0" w:after="0"/>
        <w:ind w:left="1170" w:right="0" w:firstLine="450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/s/ Peter G. Swenson</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Peter G. Swenson</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President and Chief Executive Officer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bookmarkStart w:id="1092" w:name="park-20260630xex31d2.htm"/>
      <w:bookmarkStart w:id="1093" w:name="kspark20260630xex31d2"/>
      <w:bookmarkEnd w:id="1092"/>
      <w:bookmarkEnd w:id="1093"/>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REQUIRED BY RULE 13a-14(a) OR RULE 15d-14(a)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Christopher J. Bernander, certify that:</w:t>
      </w:r>
    </w:p>
    <w:p>
      <w:pPr>
        <w:pStyle w:val="TextBody"/>
        <w:bidi w:val="0"/>
        <w:spacing w:lineRule="auto" w:line="285"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Park Dental Partners,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br/>
            </w:r>
            <w:r>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285" w:before="0" w:after="0"/>
        <w:ind w:left="1170" w:right="0" w:firstLine="4500"/>
        <w:jc w:val="left"/>
        <w:rPr/>
      </w:pPr>
      <w:r>
        <w:rPr/>
        <w:t>​</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 xml:space="preserve">/s/ Christopher J. Bernander </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Christopher J. Bernander</w:t>
      </w:r>
    </w:p>
    <w:p>
      <w:pPr>
        <w:pStyle w:val="TextBody"/>
        <w:bidi w:val="0"/>
        <w:spacing w:lineRule="auto" w:line="285" w:before="0" w:after="0"/>
        <w:ind w:left="1170" w:right="0" w:firstLine="4500"/>
        <w:jc w:val="left"/>
        <w:rPr>
          <w:rFonts w:ascii="Times New Roman;Times;serif" w:hAnsi="Times New Roman;Times;serif"/>
          <w:sz w:val="20"/>
        </w:rPr>
      </w:pPr>
      <w:r>
        <w:rPr>
          <w:rFonts w:ascii="Times New Roman;Times;serif" w:hAnsi="Times New Roman;Times;serif"/>
          <w:sz w:val="20"/>
        </w:rPr>
        <w:t>Chief Financial Officer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bookmarkStart w:id="1094" w:name="park-20260630xex32d1.htm"/>
      <w:bookmarkStart w:id="1095" w:name="kspark20260630xex32d1"/>
      <w:bookmarkEnd w:id="1094"/>
      <w:bookmarkEnd w:id="1095"/>
      <w:r>
        <w:rPr>
          <w:rFonts w:ascii="Times New Roman;Times;serif" w:hAnsi="Times New Roman;Times;serif"/>
          <w:b/>
          <w:sz w:val="24"/>
        </w:rPr>
        <w:t>PARK DENTAL PARTNERS, INC.</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CERTIFICATION OF THE CHIEF EXECUTIVE OFFICER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18 U.S.C. SECTION 1350,</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AS ADOPTED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In connection with the Quarterly Report on Form 10-Q of Park Dental Partners, Inc. (the “Company”) for the quarterly period ended June 30, 2026 as filed with the Securities and Exchange Commission on the date hereof (the “Report”), I, Peter G. Swenson, Chief Executive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0"/>
        <w:gridCol w:w="9902"/>
      </w:tblGrid>
      <w:tr>
        <w:trPr/>
        <w:tc>
          <w:tcPr>
            <w:tcW w:w="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0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/s/ Peter G. Swenson</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Peter G. Swenson</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Chief Executive Officer</w:t>
      </w:r>
    </w:p>
    <w:p>
      <w:pPr>
        <w:pStyle w:val="TextBody"/>
        <w:bidi w:val="0"/>
        <w:spacing w:lineRule="auto" w:line="285" w:before="0" w:after="0"/>
        <w:ind w:left="6660" w:right="0" w:hanging="0"/>
        <w:jc w:val="left"/>
        <w:rPr>
          <w:rFonts w:ascii="Times New Roman;Times;serif" w:hAnsi="Times New Roman;Times;serif"/>
          <w:sz w:val="24"/>
        </w:rPr>
      </w:pPr>
      <w:r>
        <w:rPr>
          <w:rFonts w:ascii="Times New Roman;Times;serif" w:hAnsi="Times New Roman;Times;serif"/>
          <w:sz w:val="24"/>
        </w:rPr>
        <w:t>Date: August 13,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bookmarkStart w:id="1096" w:name="park-20260630xex32d2.htm"/>
      <w:bookmarkStart w:id="1097" w:name="kspark20260630xex32d2"/>
      <w:bookmarkEnd w:id="1096"/>
      <w:bookmarkEnd w:id="1097"/>
      <w:r>
        <w:rPr>
          <w:rFonts w:ascii="Times New Roman;Times;serif" w:hAnsi="Times New Roman;Times;serif"/>
          <w:b/>
          <w:sz w:val="24"/>
        </w:rPr>
        <w:t>PARK DENTAL PARTNERS, INC.</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CERTIFICATION OF THE CHIEF FINANCIAL OFFICER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18 U.S.C. SECTION 1350,</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AS ADOPTED PURSUANT 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In connection with the Quarterly Report on Form 10-Q of Park Dental Partners, Inc. (the “Company”) for the quarterly period ended June 30, 2026 as filed with the Securities and Exchange Commission on the date hereof (the “Report”), I, Christopher J. Bernander, Chief Financial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0"/>
        <w:gridCol w:w="9902"/>
      </w:tblGrid>
      <w:tr>
        <w:trPr/>
        <w:tc>
          <w:tcPr>
            <w:tcW w:w="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02"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br/>
            </w:r>
            <w:r>
              <w:rPr/>
              <w:t>​</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/s/ Christopher J. Bernander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Christopher J. Bernander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Chief Financial Officer</w:t>
      </w:r>
    </w:p>
    <w:p>
      <w:pPr>
        <w:pStyle w:val="TextBody"/>
        <w:bidi w:val="0"/>
        <w:spacing w:lineRule="auto" w:line="285" w:before="0" w:after="0"/>
        <w:ind w:left="6390" w:right="0" w:firstLine="90"/>
        <w:jc w:val="left"/>
        <w:rPr>
          <w:rFonts w:ascii="Times New Roman;Times;serif" w:hAnsi="Times New Roman;Times;serif"/>
          <w:sz w:val="24"/>
        </w:rPr>
      </w:pPr>
      <w:r>
        <w:rPr>
          <w:rFonts w:ascii="Times New Roman;Times;serif" w:hAnsi="Times New Roman;Times;serif"/>
          <w:sz w:val="24"/>
        </w:rPr>
        <w:t>Date: August 13,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9604/000110465926093050/tm2622596d1_ex2-1.htm" TargetMode="External"/><Relationship Id="rId3" Type="http://schemas.openxmlformats.org/officeDocument/2006/relationships/hyperlink" Target="https://www.sec.gov/Archives/edgar/data/2069604/000110465925086768/tm2514579d6_ex3-2.htm" TargetMode="External"/><Relationship Id="rId4" Type="http://schemas.openxmlformats.org/officeDocument/2006/relationships/hyperlink" Target="https://www.sec.gov/Archives/edgar/data/2069604/000110465925086768/tm2514579d6_ex3-3.htm" TargetMode="External"/><Relationship Id="rId5" Type="http://schemas.openxmlformats.org/officeDocument/2006/relationships/hyperlink" Target="https://www.sec.gov/Archives/edgar/data/2069604/000110465925086768/tm2514579d6_ex3-4.htm" TargetMode="External"/><Relationship Id="rId6" Type="http://schemas.openxmlformats.org/officeDocument/2006/relationships/hyperlink" Target="https://www.sec.gov/Archives/edgar/data/2069604/000110465925086768/tm2514579d6_ex10-1.htm" TargetMode="External"/><Relationship Id="rId7" Type="http://schemas.openxmlformats.org/officeDocument/2006/relationships/hyperlink" Target="https://www.sec.gov/Archives/edgar/data/2069604/000110465926017525/tm266556d1_ex10-1.htm" TargetMode="External"/><Relationship Id="rId8" Type="http://schemas.openxmlformats.org/officeDocument/2006/relationships/hyperlink" Target="https://www.sec.gov/Archives/edgar/data/2069604/000110465926061216/park-20260331xex10d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18600</Words>
  <Characters>103470</Characters>
  <CharactersWithSpaces>123363</CharactersWithSpaces>
  <Paragraphs>5100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