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8" w:space="1" w:color="000000"/>
        </w:pBdr>
        <w:bidi w:val="0"/>
        <w:spacing w:before="0" w:after="10"/>
        <w:ind w:left="0" w:right="0" w:hanging="0"/>
        <w:jc w:val="center"/>
        <w:rPr/>
      </w:pPr>
      <w:bookmarkStart w:id="0" w:name="park-20260812x8k.htm"/>
      <w:bookmarkStart w:id="1" w:name="kspark20260812x8k"/>
      <w:bookmarkEnd w:id="0"/>
      <w:bookmarkEnd w:id="1"/>
      <w:r>
        <w:rPr/>
        <w:t>​</w:t>
      </w:r>
    </w:p>
    <w:p>
      <w:pPr>
        <w:pStyle w:val="TextBody"/>
        <w:bidi w:val="0"/>
        <w:spacing w:before="0" w:after="10"/>
        <w:ind w:left="0" w:right="0" w:hanging="0"/>
        <w:jc w:val="center"/>
        <w:rPr/>
      </w:pPr>
      <w:r>
        <w:rPr/>
        <w:t>​</w:t>
      </w:r>
    </w:p>
    <w:p>
      <w:pPr>
        <w:pStyle w:val="TextBody"/>
        <w:bidi w:val="0"/>
        <w:spacing w:before="0" w:after="10"/>
        <w:ind w:left="0" w:right="0" w:hanging="0"/>
        <w:jc w:val="center"/>
        <w:rPr>
          <w:rFonts w:ascii="Times New Roman;Times;serif" w:hAnsi="Times New Roman;Times;serif"/>
          <w:b/>
          <w:sz w:val="20"/>
        </w:rPr>
      </w:pPr>
      <w:bookmarkStart w:id="2" w:name="_323c02b9_c7a7_4244_9fff_ce7ca51f8b1c"/>
      <w:bookmarkEnd w:id="2"/>
      <w:r>
        <w:rPr>
          <w:rFonts w:ascii="Times New Roman;Times;serif" w:hAnsi="Times New Roman;Times;serif"/>
          <w:b/>
          <w:sz w:val="20"/>
        </w:rPr>
        <w:t>UNITED STATES</w:t>
      </w:r>
    </w:p>
    <w:p>
      <w:pPr>
        <w:pStyle w:val="TextBody"/>
        <w:bidi w:val="0"/>
        <w:spacing w:before="0" w:after="2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16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160"/>
        <w:ind w:left="0" w:right="0" w:hanging="0"/>
        <w:jc w:val="center"/>
        <w:rPr>
          <w:rFonts w:ascii="Times New Roman;Times;serif" w:hAnsi="Times New Roman;Times;serif"/>
          <w:b/>
          <w:sz w:val="20"/>
        </w:rPr>
      </w:pPr>
      <w:r>
        <w:rPr>
          <w:rFonts w:ascii="Times New Roman;Times;serif" w:hAnsi="Times New Roman;Times;serif"/>
          <w:b/>
          <w:sz w:val="20"/>
        </w:rPr>
        <w:t>FORM 8-K</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CURRENT REPORT</w:t>
      </w:r>
    </w:p>
    <w:p>
      <w:pPr>
        <w:pStyle w:val="TextBody"/>
        <w:bidi w:val="0"/>
        <w:spacing w:before="0" w:after="20"/>
        <w:ind w:left="0" w:right="0" w:hanging="0"/>
        <w:jc w:val="center"/>
        <w:rPr>
          <w:rFonts w:ascii="Times New Roman;Times;serif" w:hAnsi="Times New Roman;Times;serif"/>
          <w:b/>
          <w:sz w:val="20"/>
        </w:rPr>
      </w:pPr>
      <w:r>
        <w:rPr>
          <w:rFonts w:ascii="Times New Roman;Times;serif" w:hAnsi="Times New Roman;Times;serif"/>
          <w:b/>
          <w:sz w:val="20"/>
        </w:rPr>
        <w:t>Pursuant to Section 13 or 15(d)</w:t>
      </w:r>
    </w:p>
    <w:p>
      <w:pPr>
        <w:pStyle w:val="TextBody"/>
        <w:bidi w:val="0"/>
        <w:spacing w:before="0" w:after="160"/>
        <w:ind w:left="0" w:right="0" w:hanging="0"/>
        <w:jc w:val="center"/>
        <w:rPr>
          <w:rFonts w:ascii="Times New Roman;Times;serif" w:hAnsi="Times New Roman;Times;serif"/>
          <w:b/>
          <w:sz w:val="20"/>
        </w:rPr>
      </w:pPr>
      <w:r>
        <w:rPr>
          <w:rFonts w:ascii="Times New Roman;Times;serif" w:hAnsi="Times New Roman;Times;serif"/>
          <w:b/>
          <w:sz w:val="20"/>
        </w:rPr>
        <w:t>of the Securities Exchange Act of 1934</w:t>
      </w:r>
    </w:p>
    <w:p>
      <w:pPr>
        <w:pStyle w:val="TextBody"/>
        <w:bidi w:val="0"/>
        <w:spacing w:before="0" w:after="160"/>
        <w:ind w:left="0" w:right="0" w:hanging="0"/>
        <w:jc w:val="center"/>
        <w:rPr>
          <w:rFonts w:ascii="Times New Roman;Times;serif" w:hAnsi="Times New Roman;Times;serif"/>
          <w:b/>
          <w:sz w:val="20"/>
        </w:rPr>
      </w:pPr>
      <w:r>
        <w:rPr>
          <w:rFonts w:ascii="Times New Roman;Times;serif" w:hAnsi="Times New Roman;Times;serif"/>
          <w:b/>
          <w:sz w:val="20"/>
        </w:rPr>
        <w:t>Date of Report (Date of earliest event reported): August 12, 2026</w:t>
      </w:r>
    </w:p>
    <w:p>
      <w:pPr>
        <w:pStyle w:val="TextBody"/>
        <w:bidi w:val="0"/>
        <w:spacing w:before="0" w:after="20"/>
        <w:ind w:left="0" w:right="0" w:hanging="0"/>
        <w:jc w:val="center"/>
        <w:rPr>
          <w:rFonts w:ascii="Times New Roman;Times;serif" w:hAnsi="Times New Roman;Times;serif"/>
          <w:b/>
          <w:sz w:val="20"/>
        </w:rPr>
      </w:pPr>
      <w:r>
        <w:rPr>
          <w:rFonts w:ascii="Times New Roman;Times;serif" w:hAnsi="Times New Roman;Times;serif"/>
          <w:b/>
          <w:sz w:val="20"/>
        </w:rPr>
        <w:t>Park Dental Partners, Inc.</w:t>
      </w:r>
    </w:p>
    <w:p>
      <w:pPr>
        <w:pStyle w:val="TextBody"/>
        <w:bidi w:val="0"/>
        <w:spacing w:before="0" w:after="16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Normal"/>
        <w:bidi w:val="0"/>
        <w:spacing w:before="0" w:after="0"/>
        <w:jc w:val="left"/>
        <w:rPr>
          <w:sz w:val="4"/>
          <w:szCs w:val="4"/>
        </w:rPr>
      </w:pPr>
      <w:r>
        <w:rPr>
          <w:sz w:val="4"/>
          <w:szCs w:val="4"/>
        </w:rPr>
      </w:r>
      <w:bookmarkStart w:id="3" w:name="Tc_OKimx_wdsEqLU8PKumbvkw_2_4"/>
      <w:bookmarkStart w:id="4" w:name="Tc_3ZGuGahn_ku-u-ZZBR3oCw_2_2"/>
      <w:bookmarkStart w:id="5" w:name="Tc_nlbhpQ9Pzken9BgySX28Tg_2_0"/>
      <w:bookmarkStart w:id="6" w:name="_a4eb0c1b_bc71_4883_a49f_7a75bb6b6236"/>
      <w:bookmarkStart w:id="7" w:name="Tc_OKimx_wdsEqLU8PKumbvkw_2_4"/>
      <w:bookmarkStart w:id="8" w:name="Tc_3ZGuGahn_ku-u-ZZBR3oCw_2_2"/>
      <w:bookmarkStart w:id="9" w:name="Tc_nlbhpQ9Pzken9BgySX28Tg_2_0"/>
      <w:bookmarkStart w:id="10" w:name="_a4eb0c1b_bc71_4883_a49f_7a75bb6b6236"/>
      <w:bookmarkEnd w:id="7"/>
      <w:bookmarkEnd w:id="8"/>
      <w:bookmarkEnd w:id="9"/>
      <w:bookmarkEnd w:id="10"/>
    </w:p>
    <w:tbl>
      <w:tblPr>
        <w:tblW w:w="10205" w:type="dxa"/>
        <w:jc w:val="left"/>
        <w:tblInd w:w="0" w:type="dxa"/>
        <w:tblLayout w:type="fixed"/>
        <w:tblCellMar>
          <w:top w:w="0" w:type="dxa"/>
          <w:left w:w="0" w:type="dxa"/>
          <w:bottom w:w="0" w:type="dxa"/>
          <w:right w:w="0" w:type="dxa"/>
        </w:tblCellMar>
      </w:tblPr>
      <w:tblGrid>
        <w:gridCol w:w="4355"/>
        <w:gridCol w:w="346"/>
        <w:gridCol w:w="2114"/>
        <w:gridCol w:w="346"/>
        <w:gridCol w:w="3044"/>
      </w:tblGrid>
      <w:tr>
        <w:trPr/>
        <w:tc>
          <w:tcPr>
            <w:tcW w:w="4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765425" cy="175260"/>
                      <wp:effectExtent l="0" t="0" r="0" b="0"/>
                      <wp:wrapNone/>
                      <wp:docPr id="1" name="Frame1"/>
                      <a:graphic xmlns:a="http://schemas.openxmlformats.org/drawingml/2006/main">
                        <a:graphicData uri="http://schemas.microsoft.com/office/word/2010/wordprocessingShape">
                          <wps:wsp>
                            <wps:cNvSpPr txBox="1"/>
                            <wps:spPr>
                              <a:xfrm>
                                <a:off x="0" y="0"/>
                                <a:ext cx="2765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19710" cy="175260"/>
                      <wp:effectExtent l="0" t="0" r="0" b="0"/>
                      <wp:wrapNone/>
                      <wp:docPr id="2"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342390" cy="175260"/>
                      <wp:effectExtent l="0" t="0" r="0" b="0"/>
                      <wp:wrapNone/>
                      <wp:docPr id="3" name="Frame3"/>
                      <a:graphic xmlns:a="http://schemas.openxmlformats.org/drawingml/2006/main">
                        <a:graphicData uri="http://schemas.microsoft.com/office/word/2010/wordprocessingShape">
                          <wps:wsp>
                            <wps:cNvSpPr txBox="1"/>
                            <wps:spPr>
                              <a:xfrm>
                                <a:off x="0" y="0"/>
                                <a:ext cx="1342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19710" cy="175260"/>
                      <wp:effectExtent l="0" t="0" r="0" b="0"/>
                      <wp:wrapNone/>
                      <wp:docPr id="4" name="Frame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932940" cy="175260"/>
                      <wp:effectExtent l="0" t="0" r="0" b="0"/>
                      <wp:wrapNone/>
                      <wp:docPr id="5" name="Frame5"/>
                      <a:graphic xmlns:a="http://schemas.openxmlformats.org/drawingml/2006/main">
                        <a:graphicData uri="http://schemas.microsoft.com/office/word/2010/wordprocessingShape">
                          <wps:wsp>
                            <wps:cNvSpPr txBox="1"/>
                            <wps:spPr>
                              <a:xfrm>
                                <a:off x="0" y="0"/>
                                <a:ext cx="1932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55"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Minnesota</w:t>
            </w:r>
          </w:p>
        </w:tc>
        <w:tc>
          <w:tcPr>
            <w:tcW w:w="346" w:type="dxa"/>
            <w:tcBorders>
              <w:bottom w:val="single" w:sz="8" w:space="0" w:color="000000"/>
            </w:tcBorders>
            <w:tcMar>
              <w:bottom w:w="28" w:type="dxa"/>
            </w:tcMar>
            <w:vAlign w:val="center"/>
          </w:tcPr>
          <w:p>
            <w:pPr>
              <w:pStyle w:val="TableContents"/>
              <w:bidi w:val="0"/>
              <w:spacing w:before="0" w:after="0"/>
              <w:ind w:left="0" w:right="0" w:hanging="0"/>
              <w:jc w:val="left"/>
              <w:rPr/>
            </w:pPr>
            <w:r>
              <w:rPr/>
              <w:t>  ​ ​ ​</w:t>
            </w:r>
          </w:p>
        </w:tc>
        <w:tc>
          <w:tcPr>
            <w:tcW w:w="2114"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001-42967</w:t>
            </w:r>
          </w:p>
        </w:tc>
        <w:tc>
          <w:tcPr>
            <w:tcW w:w="346" w:type="dxa"/>
            <w:tcBorders>
              <w:bottom w:val="single" w:sz="8" w:space="0" w:color="000000"/>
            </w:tcBorders>
            <w:tcMar>
              <w:bottom w:w="28" w:type="dxa"/>
            </w:tcMar>
            <w:vAlign w:val="center"/>
          </w:tcPr>
          <w:p>
            <w:pPr>
              <w:pStyle w:val="TableContents"/>
              <w:bidi w:val="0"/>
              <w:spacing w:before="0" w:after="0"/>
              <w:ind w:left="0" w:right="0" w:hanging="0"/>
              <w:jc w:val="left"/>
              <w:rPr/>
            </w:pPr>
            <w:r>
              <w:rPr/>
              <w:t>  ​ ​ ​</w:t>
            </w:r>
          </w:p>
        </w:tc>
        <w:tc>
          <w:tcPr>
            <w:tcW w:w="3044"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93-2020683</w:t>
            </w:r>
          </w:p>
        </w:tc>
      </w:tr>
      <w:tr>
        <w:trPr/>
        <w:tc>
          <w:tcPr>
            <w:tcW w:w="4355"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 incorporation or organization)</w:t>
            </w:r>
          </w:p>
        </w:tc>
        <w:tc>
          <w:tcPr>
            <w:tcW w:w="346" w:type="dxa"/>
            <w:tcBorders/>
            <w:vAlign w:val="center"/>
          </w:tcPr>
          <w:p>
            <w:pPr>
              <w:pStyle w:val="TableContents"/>
              <w:bidi w:val="0"/>
              <w:spacing w:before="0" w:after="0"/>
              <w:ind w:left="0" w:right="0" w:hanging="0"/>
              <w:jc w:val="left"/>
              <w:rPr/>
            </w:pPr>
            <w:r>
              <w:rPr/>
              <w:t>​</w:t>
            </w:r>
          </w:p>
        </w:tc>
        <w:tc>
          <w:tcPr>
            <w:tcW w:w="2114"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 File Number)</w:t>
            </w:r>
          </w:p>
        </w:tc>
        <w:tc>
          <w:tcPr>
            <w:tcW w:w="346" w:type="dxa"/>
            <w:tcBorders/>
            <w:vAlign w:val="center"/>
          </w:tcPr>
          <w:p>
            <w:pPr>
              <w:pStyle w:val="TableContents"/>
              <w:bidi w:val="0"/>
              <w:spacing w:before="0" w:after="0"/>
              <w:ind w:left="0" w:right="0" w:hanging="0"/>
              <w:jc w:val="left"/>
              <w:rPr/>
            </w:pPr>
            <w:r>
              <w:rPr/>
              <w:t>​</w:t>
            </w:r>
          </w:p>
        </w:tc>
        <w:tc>
          <w:tcPr>
            <w:tcW w:w="3044"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 Identification Number)</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2200 County Road C West, Suite 2210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Roseville, Minnesota</w:t>
      </w:r>
      <w:r>
        <w:rPr>
          <w:rFonts w:ascii="Times New Roman;Times;serif" w:hAnsi="Times New Roman;Times;serif"/>
          <w:sz w:val="20"/>
        </w:rPr>
        <w:t xml:space="preserve"> </w:t>
      </w:r>
      <w:r>
        <w:rPr>
          <w:rFonts w:ascii="Times New Roman;Times;serif" w:hAnsi="Times New Roman;Times;serif"/>
          <w:b/>
          <w:sz w:val="20"/>
        </w:rPr>
        <w:t>55113</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 (Zip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(651) 633-0500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 Applicable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p>
      <w:pPr>
        <w:pStyle w:val="TextBody"/>
        <w:bidi w:val="0"/>
        <w:spacing w:before="0" w:after="0"/>
        <w:ind w:left="0" w:right="0" w:hanging="0"/>
        <w:jc w:val="left"/>
        <w:rPr/>
      </w:pPr>
      <w:r>
        <w:rPr/>
        <w:t>​</w:t>
      </w:r>
    </w:p>
    <w:p>
      <w:pPr>
        <w:pStyle w:val="TextBody"/>
        <w:bidi w:val="0"/>
        <w:spacing w:before="0" w:after="160"/>
        <w:ind w:left="0" w:right="0" w:hanging="0"/>
        <w:jc w:val="both"/>
        <w:rPr>
          <w:rFonts w:ascii="Times New Roman;Times;serif" w:hAnsi="Times New Roman;Times;serif"/>
          <w:sz w:val="21"/>
        </w:rPr>
      </w:pPr>
      <w:r>
        <w:rPr>
          <w:rFonts w:ascii="Times New Roman;Times;serif" w:hAnsi="Times New Roman;Times;serif"/>
          <w:sz w:val="21"/>
        </w:rPr>
        <w:t>Check the appropriate box below if the Form 8-K filing is intended to simultaneously satisfy the filing obligation of the registrant under any of the following provisions:</w:t>
      </w:r>
    </w:p>
    <w:tbl>
      <w:tblPr>
        <w:tblW w:w="8117" w:type="dxa"/>
        <w:jc w:val="left"/>
        <w:tblInd w:w="0" w:type="dxa"/>
        <w:tblLayout w:type="fixed"/>
        <w:tblCellMar>
          <w:top w:w="0" w:type="dxa"/>
          <w:left w:w="0" w:type="dxa"/>
          <w:bottom w:w="0" w:type="dxa"/>
          <w:right w:w="0" w:type="dxa"/>
        </w:tblCellMar>
      </w:tblPr>
      <w:tblGrid>
        <w:gridCol w:w="331"/>
        <w:gridCol w:w="7786"/>
      </w:tblGrid>
      <w:tr>
        <w:trPr/>
        <w:tc>
          <w:tcPr>
            <w:tcW w:w="331" w:type="dxa"/>
            <w:tcBorders/>
            <w:vAlign w:val="center"/>
          </w:tcPr>
          <w:p>
            <w:pPr>
              <w:pStyle w:val="TableContents"/>
              <w:bidi w:val="0"/>
              <w:spacing w:before="0" w:after="0"/>
              <w:jc w:val="left"/>
              <w:rPr/>
            </w:pPr>
            <w:r>
              <w:rPr/>
              <w:t>☐</w:t>
            </w:r>
          </w:p>
        </w:tc>
        <w:tc>
          <w:tcPr>
            <w:tcW w:w="7786" w:type="dxa"/>
            <w:tcBorders/>
            <w:vAlign w:val="center"/>
          </w:tcPr>
          <w:p>
            <w:pPr>
              <w:pStyle w:val="TableContents"/>
              <w:bidi w:val="0"/>
              <w:spacing w:before="0" w:after="0"/>
              <w:jc w:val="left"/>
              <w:rPr>
                <w:rFonts w:ascii="Times New Roman;Times;serif" w:hAnsi="Times New Roman;Times;serif"/>
                <w:sz w:val="21"/>
              </w:rPr>
            </w:pPr>
            <w:r>
              <w:rPr>
                <w:rFonts w:ascii="Times New Roman;Times;serif" w:hAnsi="Times New Roman;Times;serif"/>
                <w:sz w:val="21"/>
              </w:rPr>
              <w:t>Written communications pursuant to Rule 425 under the Securities Act (17 CFR 230.425)</w:t>
            </w:r>
          </w:p>
        </w:tc>
      </w:tr>
    </w:tbl>
    <w:tbl>
      <w:tblPr>
        <w:tblW w:w="8147" w:type="dxa"/>
        <w:jc w:val="left"/>
        <w:tblInd w:w="0" w:type="dxa"/>
        <w:tblLayout w:type="fixed"/>
        <w:tblCellMar>
          <w:top w:w="0" w:type="dxa"/>
          <w:left w:w="0" w:type="dxa"/>
          <w:bottom w:w="0" w:type="dxa"/>
          <w:right w:w="0" w:type="dxa"/>
        </w:tblCellMar>
      </w:tblPr>
      <w:tblGrid>
        <w:gridCol w:w="331"/>
        <w:gridCol w:w="7816"/>
      </w:tblGrid>
      <w:tr>
        <w:trPr/>
        <w:tc>
          <w:tcPr>
            <w:tcW w:w="331" w:type="dxa"/>
            <w:tcBorders/>
            <w:vAlign w:val="center"/>
          </w:tcPr>
          <w:p>
            <w:pPr>
              <w:pStyle w:val="TableContents"/>
              <w:bidi w:val="0"/>
              <w:spacing w:before="0" w:after="0"/>
              <w:jc w:val="left"/>
              <w:rPr/>
            </w:pPr>
            <w:r>
              <w:rPr/>
              <w:t>☐</w:t>
            </w:r>
          </w:p>
        </w:tc>
        <w:tc>
          <w:tcPr>
            <w:tcW w:w="7816" w:type="dxa"/>
            <w:tcBorders/>
            <w:vAlign w:val="center"/>
          </w:tcPr>
          <w:p>
            <w:pPr>
              <w:pStyle w:val="TableContents"/>
              <w:bidi w:val="0"/>
              <w:spacing w:before="0" w:after="0"/>
              <w:jc w:val="left"/>
              <w:rPr>
                <w:rFonts w:ascii="Times New Roman;Times;serif" w:hAnsi="Times New Roman;Times;serif"/>
                <w:sz w:val="21"/>
              </w:rPr>
            </w:pPr>
            <w:r>
              <w:rPr>
                <w:rFonts w:ascii="Times New Roman;Times;serif" w:hAnsi="Times New Roman;Times;serif"/>
                <w:sz w:val="21"/>
              </w:rPr>
              <w:t>Soliciting material pursuant to Rule 14a-12 under the Exchange Act (17 CFR 240.14a-12)</w:t>
            </w:r>
          </w:p>
        </w:tc>
      </w:tr>
    </w:tbl>
    <w:tbl>
      <w:tblPr>
        <w:tblW w:w="10022" w:type="dxa"/>
        <w:jc w:val="left"/>
        <w:tblInd w:w="0" w:type="dxa"/>
        <w:tblLayout w:type="fixed"/>
        <w:tblCellMar>
          <w:top w:w="0" w:type="dxa"/>
          <w:left w:w="0" w:type="dxa"/>
          <w:bottom w:w="0" w:type="dxa"/>
          <w:right w:w="0" w:type="dxa"/>
        </w:tblCellMar>
      </w:tblPr>
      <w:tblGrid>
        <w:gridCol w:w="331"/>
        <w:gridCol w:w="9691"/>
      </w:tblGrid>
      <w:tr>
        <w:trPr/>
        <w:tc>
          <w:tcPr>
            <w:tcW w:w="331" w:type="dxa"/>
            <w:tcBorders/>
            <w:vAlign w:val="center"/>
          </w:tcPr>
          <w:p>
            <w:pPr>
              <w:pStyle w:val="TableContents"/>
              <w:bidi w:val="0"/>
              <w:spacing w:before="0" w:after="0"/>
              <w:jc w:val="left"/>
              <w:rPr/>
            </w:pPr>
            <w:r>
              <w:rPr/>
              <w:t>☐</w:t>
            </w:r>
          </w:p>
        </w:tc>
        <w:tc>
          <w:tcPr>
            <w:tcW w:w="9691" w:type="dxa"/>
            <w:tcBorders/>
            <w:vAlign w:val="center"/>
          </w:tcPr>
          <w:p>
            <w:pPr>
              <w:pStyle w:val="TableContents"/>
              <w:bidi w:val="0"/>
              <w:spacing w:before="0" w:after="0"/>
              <w:jc w:val="left"/>
              <w:rPr>
                <w:rFonts w:ascii="Times New Roman;Times;serif" w:hAnsi="Times New Roman;Times;serif"/>
                <w:sz w:val="21"/>
              </w:rPr>
            </w:pPr>
            <w:r>
              <w:rPr>
                <w:rFonts w:ascii="Times New Roman;Times;serif" w:hAnsi="Times New Roman;Times;serif"/>
                <w:sz w:val="21"/>
              </w:rPr>
              <w:t>Pre-commencement communications pursuant to Rule 14d-2(b) under the Exchange Act (17 CFR 240.14d-2(b))</w:t>
            </w:r>
          </w:p>
        </w:tc>
      </w:tr>
    </w:tbl>
    <w:tbl>
      <w:tblPr>
        <w:tblW w:w="9962" w:type="dxa"/>
        <w:jc w:val="left"/>
        <w:tblInd w:w="0" w:type="dxa"/>
        <w:tblLayout w:type="fixed"/>
        <w:tblCellMar>
          <w:top w:w="0" w:type="dxa"/>
          <w:left w:w="0" w:type="dxa"/>
          <w:bottom w:w="0" w:type="dxa"/>
          <w:right w:w="0" w:type="dxa"/>
        </w:tblCellMar>
      </w:tblPr>
      <w:tblGrid>
        <w:gridCol w:w="331"/>
        <w:gridCol w:w="9631"/>
      </w:tblGrid>
      <w:tr>
        <w:trPr/>
        <w:tc>
          <w:tcPr>
            <w:tcW w:w="331" w:type="dxa"/>
            <w:tcBorders/>
            <w:vAlign w:val="center"/>
          </w:tcPr>
          <w:p>
            <w:pPr>
              <w:pStyle w:val="TableContents"/>
              <w:bidi w:val="0"/>
              <w:spacing w:before="0" w:after="160"/>
              <w:jc w:val="both"/>
              <w:rPr/>
            </w:pPr>
            <w:r>
              <w:rPr/>
              <w:t>☐</w:t>
            </w:r>
          </w:p>
        </w:tc>
        <w:tc>
          <w:tcPr>
            <w:tcW w:w="9631" w:type="dxa"/>
            <w:tcBorders/>
            <w:vAlign w:val="center"/>
          </w:tcPr>
          <w:p>
            <w:pPr>
              <w:pStyle w:val="TableContents"/>
              <w:bidi w:val="0"/>
              <w:spacing w:before="0" w:after="160"/>
              <w:jc w:val="both"/>
              <w:rPr>
                <w:rFonts w:ascii="Times New Roman;Times;serif" w:hAnsi="Times New Roman;Times;serif"/>
                <w:sz w:val="21"/>
              </w:rPr>
            </w:pPr>
            <w:r>
              <w:rPr>
                <w:rFonts w:ascii="Times New Roman;Times;serif" w:hAnsi="Times New Roman;Times;serif"/>
                <w:sz w:val="21"/>
              </w:rPr>
              <w:t>Pre-commencement communications pursuant to Rule 13e-4(c) under the Exchange Act (17 CFR 240.13e-4(c))</w:t>
            </w:r>
          </w:p>
        </w:tc>
      </w:tr>
    </w:tbl>
    <w:p>
      <w:pPr>
        <w:pStyle w:val="TextBody"/>
        <w:bidi w:val="0"/>
        <w:spacing w:before="0" w:after="0"/>
        <w:ind w:left="0" w:right="0" w:hanging="0"/>
        <w:jc w:val="both"/>
        <w:rPr>
          <w:rFonts w:ascii="Times New Roman;Times;serif" w:hAnsi="Times New Roman;Times;serif"/>
          <w:sz w:val="21"/>
        </w:rPr>
      </w:pPr>
      <w:r>
        <w:rPr>
          <w:rFonts w:ascii="Times New Roman;Times;serif" w:hAnsi="Times New Roman;Times;serif"/>
          <w:sz w:val="21"/>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 w:name="Tc_wiKkQoMed0aPIaNApDKeoQ_2_4"/>
      <w:bookmarkStart w:id="12" w:name="Tc_uxYUY9nqkkWZlf6cVpCDyg_1_4"/>
      <w:bookmarkStart w:id="13" w:name="Tc_XumZri2FukWW-FJgrCOTCg_1_2"/>
      <w:bookmarkStart w:id="14" w:name="Tc_p3tGfNO50Ee3ZaJ40i6iBg_1_0"/>
      <w:bookmarkStart w:id="15" w:name="_c5cc7739_d8cd_475e_bf1e_4cb72ca92cca"/>
      <w:bookmarkStart w:id="16" w:name="Tc_wiKkQoMed0aPIaNApDKeoQ_2_4"/>
      <w:bookmarkStart w:id="17" w:name="Tc_uxYUY9nqkkWZlf6cVpCDyg_1_4"/>
      <w:bookmarkStart w:id="18" w:name="Tc_XumZri2FukWW-FJgrCOTCg_1_2"/>
      <w:bookmarkStart w:id="19" w:name="Tc_p3tGfNO50Ee3ZaJ40i6iBg_1_0"/>
      <w:bookmarkStart w:id="20" w:name="_c5cc7739_d8cd_475e_bf1e_4cb72ca92cca"/>
      <w:bookmarkEnd w:id="16"/>
      <w:bookmarkEnd w:id="17"/>
      <w:bookmarkEnd w:id="18"/>
      <w:bookmarkEnd w:id="19"/>
      <w:bookmarkEnd w:id="20"/>
    </w:p>
    <w:tbl>
      <w:tblPr>
        <w:tblW w:w="9725" w:type="dxa"/>
        <w:jc w:val="left"/>
        <w:tblInd w:w="0" w:type="dxa"/>
        <w:tblLayout w:type="fixed"/>
        <w:tblCellMar>
          <w:top w:w="0" w:type="dxa"/>
          <w:left w:w="0" w:type="dxa"/>
          <w:bottom w:w="0" w:type="dxa"/>
          <w:right w:w="0" w:type="dxa"/>
        </w:tblCellMar>
      </w:tblPr>
      <w:tblGrid>
        <w:gridCol w:w="3706"/>
        <w:gridCol w:w="346"/>
        <w:gridCol w:w="1501"/>
        <w:gridCol w:w="346"/>
        <w:gridCol w:w="3826"/>
      </w:tblGrid>
      <w:tr>
        <w:trPr/>
        <w:tc>
          <w:tcPr>
            <w:tcW w:w="3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826" w:type="dxa"/>
            <w:tcBorders/>
            <w:vAlign w:val="center"/>
          </w:tcPr>
          <w:p>
            <w:pPr>
              <w:pStyle w:val="TableContents"/>
              <w:bidi w:val="0"/>
              <w:spacing w:before="0" w:after="0"/>
              <w:ind w:left="0" w:right="0" w:hanging="0"/>
              <w:jc w:val="left"/>
              <w:rPr/>
            </w:pPr>
            <w:r>
              <w:rPr/>
              <w:t>​</w:t>
            </w:r>
          </w:p>
        </w:tc>
      </w:tr>
      <w:tr>
        <w:trPr/>
        <w:tc>
          <w:tcPr>
            <w:tcW w:w="370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346" w:type="dxa"/>
            <w:tcBorders/>
            <w:vAlign w:val="center"/>
          </w:tcPr>
          <w:p>
            <w:pPr>
              <w:pStyle w:val="TableContents"/>
              <w:bidi w:val="0"/>
              <w:spacing w:before="0" w:after="0"/>
              <w:ind w:left="0" w:right="0" w:hanging="0"/>
              <w:jc w:val="left"/>
              <w:rPr/>
            </w:pPr>
            <w:r>
              <w:rPr/>
              <w:t>  ​ ​ ​</w:t>
            </w:r>
          </w:p>
        </w:tc>
        <w:tc>
          <w:tcPr>
            <w:tcW w:w="150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 Symbol</w:t>
            </w:r>
          </w:p>
        </w:tc>
        <w:tc>
          <w:tcPr>
            <w:tcW w:w="346" w:type="dxa"/>
            <w:tcBorders/>
            <w:vAlign w:val="center"/>
          </w:tcPr>
          <w:p>
            <w:pPr>
              <w:pStyle w:val="TableContents"/>
              <w:bidi w:val="0"/>
              <w:spacing w:before="0" w:after="0"/>
              <w:ind w:left="0" w:right="0" w:hanging="0"/>
              <w:jc w:val="left"/>
              <w:rPr/>
            </w:pPr>
            <w:r>
              <w:rPr/>
              <w:t>  ​ ​ ​</w:t>
            </w:r>
          </w:p>
        </w:tc>
        <w:tc>
          <w:tcPr>
            <w:tcW w:w="382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706"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par value $0.0001 per share</w:t>
            </w:r>
          </w:p>
        </w:tc>
        <w:tc>
          <w:tcPr>
            <w:tcW w:w="346" w:type="dxa"/>
            <w:tcBorders/>
            <w:vAlign w:val="center"/>
          </w:tcPr>
          <w:p>
            <w:pPr>
              <w:pStyle w:val="TableContents"/>
              <w:bidi w:val="0"/>
              <w:spacing w:before="0" w:after="0"/>
              <w:ind w:left="0" w:right="0" w:hanging="0"/>
              <w:jc w:val="center"/>
              <w:rPr/>
            </w:pPr>
            <w:r>
              <w:rPr/>
              <w:t>​</w:t>
            </w:r>
          </w:p>
        </w:tc>
        <w:tc>
          <w:tcPr>
            <w:tcW w:w="1501"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PARK</w:t>
            </w:r>
          </w:p>
        </w:tc>
        <w:tc>
          <w:tcPr>
            <w:tcW w:w="346" w:type="dxa"/>
            <w:tcBorders/>
            <w:vAlign w:val="center"/>
          </w:tcPr>
          <w:p>
            <w:pPr>
              <w:pStyle w:val="TableContents"/>
              <w:bidi w:val="0"/>
              <w:spacing w:before="0" w:after="0"/>
              <w:ind w:left="0" w:right="0" w:hanging="0"/>
              <w:jc w:val="center"/>
              <w:rPr/>
            </w:pPr>
            <w:r>
              <w:rPr/>
              <w:t>​</w:t>
            </w:r>
          </w:p>
        </w:tc>
        <w:tc>
          <w:tcPr>
            <w:tcW w:w="3826"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Nasdaq Capital Market</w:t>
            </w:r>
          </w:p>
        </w:tc>
      </w:tr>
    </w:tbl>
    <w:p>
      <w:pPr>
        <w:pStyle w:val="TextBody"/>
        <w:bidi w:val="0"/>
        <w:spacing w:before="0" w:after="0"/>
        <w:ind w:left="0" w:right="0" w:hanging="0"/>
        <w:jc w:val="left"/>
        <w:rPr/>
      </w:pPr>
      <w:r>
        <w:rPr/>
        <w:t>​</w:t>
      </w:r>
    </w:p>
    <w:p>
      <w:pPr>
        <w:pStyle w:val="TextBody"/>
        <w:bidi w:val="0"/>
        <w:spacing w:before="0" w:after="160"/>
        <w:ind w:left="0" w:right="0" w:hanging="0"/>
        <w:jc w:val="both"/>
        <w:rPr>
          <w:rFonts w:ascii="Times New Roman;Times;serif" w:hAnsi="Times New Roman;Times;serif"/>
          <w:sz w:val="21"/>
        </w:rPr>
      </w:pPr>
      <w:r>
        <w:rPr>
          <w:rFonts w:ascii="Times New Roman;Times;serif" w:hAnsi="Times New Roman;Times;serif"/>
          <w:sz w:val="21"/>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160"/>
        <w:ind w:left="0" w:right="0" w:hanging="0"/>
        <w:jc w:val="left"/>
        <w:rPr>
          <w:rFonts w:ascii="Times New Roman;Times;serif" w:hAnsi="Times New Roman;Times;serif"/>
          <w:sz w:val="21"/>
        </w:rPr>
      </w:pPr>
      <w:r>
        <w:rPr>
          <w:rFonts w:ascii="Times New Roman;Times;serif" w:hAnsi="Times New Roman;Times;serif"/>
          <w:sz w:val="21"/>
        </w:rPr>
        <w:t>Emerging growth company ☒</w:t>
      </w:r>
    </w:p>
    <w:p>
      <w:pPr>
        <w:pStyle w:val="TextBody"/>
        <w:bidi w:val="0"/>
        <w:spacing w:before="0" w:after="15"/>
        <w:ind w:left="0" w:right="0" w:hanging="0"/>
        <w:jc w:val="both"/>
        <w:rPr>
          <w:rFonts w:ascii="Times New Roman;Times;serif" w:hAnsi="Times New Roman;Times;serif"/>
          <w:sz w:val="21"/>
        </w:rPr>
      </w:pPr>
      <w:r>
        <w:rPr>
          <w:rFonts w:ascii="Times New Roman;Times;serif" w:hAnsi="Times New Roman;Times;serif"/>
          <w:sz w:val="21"/>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top w:val="single" w:sz="8" w:space="1" w:color="000000"/>
          <w:bottom w:val="single" w:sz="24" w:space="1" w:color="000000"/>
        </w:pBdr>
        <w:bidi w:val="0"/>
        <w:spacing w:before="0" w:after="15"/>
        <w:ind w:left="0" w:right="0" w:hanging="0"/>
        <w:jc w:val="both"/>
        <w:rPr/>
      </w:pPr>
      <w:r>
        <w:rPr/>
        <w:t>​</w:t>
      </w:r>
    </w:p>
    <w:p>
      <w:pPr>
        <w:pStyle w:val="TextBody"/>
        <w:bidi w:val="0"/>
        <w:spacing w:before="0" w:after="15"/>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21" w:name="_0e4b8c9d_e66e_4353_b8d7_5815fbb8a56e"/>
      <w:bookmarkEnd w:id="21"/>
      <w:r>
        <w:rPr>
          <w:rFonts w:ascii="Times New Roman;Times;serif" w:hAnsi="Times New Roman;Times;serif"/>
          <w:b/>
          <w:sz w:val="20"/>
        </w:rPr>
        <w:t>Item 2.02 Results of Operations and Financial Condition.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August 12, 2026, Park Dental Partners, Inc. (the “Company”) issued a press release on the Company’s website announcing its second quarter 2026 financial results for the reporting period ended June 30, 2026. On August 13, 2026, the Company will host its quarterly earnings conference call, which will be accessible to the public.</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 copy of the Company’s press release is furnished as Exhibit 99.1 and is attached to this Current Report on Form 8-K. The information in this Item 2.02 and Exhibit 99.1 shall not be deemed “filed” for purposes of Section 18 of the Securities Exchange Act of 1934, as amended, nor shall it be deemed incorporated by reference into any filings under the Securities Act of 1933, as amended.</w:t>
      </w:r>
    </w:p>
    <w:p>
      <w:pPr>
        <w:pStyle w:val="TextBody"/>
        <w:bidi w:val="0"/>
        <w:spacing w:before="0" w:after="240"/>
        <w:ind w:left="0" w:right="0" w:hanging="0"/>
        <w:jc w:val="left"/>
        <w:rPr>
          <w:rFonts w:ascii="Times New Roman;Times;serif" w:hAnsi="Times New Roman;Times;serif"/>
          <w:b/>
          <w:sz w:val="20"/>
        </w:rPr>
      </w:pPr>
      <w:bookmarkStart w:id="22" w:name="_bba07135_aa91_40f8_8441_bf00c8911e6e"/>
      <w:bookmarkEnd w:id="22"/>
      <w:r>
        <w:rPr>
          <w:rFonts w:ascii="Times New Roman;Times;serif" w:hAnsi="Times New Roman;Times;serif"/>
          <w:b/>
          <w:sz w:val="20"/>
        </w:rPr>
        <w:t>Item 9.01 Financial Statements and Exhibits.</w:t>
      </w:r>
    </w:p>
    <w:p>
      <w:pPr>
        <w:pStyle w:val="TextBody"/>
        <w:bidi w:val="0"/>
        <w:spacing w:before="0" w:after="240"/>
        <w:ind w:left="0" w:right="0" w:hanging="0"/>
        <w:jc w:val="left"/>
        <w:rPr>
          <w:rFonts w:ascii="Times New Roman;Times;serif" w:hAnsi="Times New Roman;Times;serif"/>
          <w:sz w:val="21"/>
        </w:rPr>
      </w:pPr>
      <w:r>
        <w:rPr>
          <w:rFonts w:ascii="Times New Roman;Times;serif" w:hAnsi="Times New Roman;Times;serif"/>
          <w:sz w:val="21"/>
        </w:rPr>
        <w:t>(d) Exhibits</w:t>
      </w:r>
    </w:p>
    <w:tbl>
      <w:tblPr>
        <w:tblW w:w="6873" w:type="dxa"/>
        <w:jc w:val="left"/>
        <w:tblInd w:w="0" w:type="dxa"/>
        <w:tblLayout w:type="fixed"/>
        <w:tblCellMar>
          <w:top w:w="0" w:type="dxa"/>
          <w:left w:w="0" w:type="dxa"/>
          <w:bottom w:w="0" w:type="dxa"/>
          <w:right w:w="0" w:type="dxa"/>
        </w:tblCellMar>
      </w:tblPr>
      <w:tblGrid>
        <w:gridCol w:w="1126"/>
        <w:gridCol w:w="346"/>
        <w:gridCol w:w="5401"/>
      </w:tblGrid>
      <w:tr>
        <w:trPr/>
        <w:tc>
          <w:tcPr>
            <w:tcW w:w="11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401" w:type="dxa"/>
            <w:tcBorders/>
            <w:vAlign w:val="center"/>
          </w:tcPr>
          <w:p>
            <w:pPr>
              <w:pStyle w:val="TableContents"/>
              <w:bidi w:val="0"/>
              <w:spacing w:before="0" w:after="0"/>
              <w:ind w:left="0" w:right="0" w:hanging="0"/>
              <w:jc w:val="left"/>
              <w:rPr/>
            </w:pPr>
            <w:r>
              <w:rPr/>
              <w:t>​</w:t>
            </w:r>
          </w:p>
        </w:tc>
      </w:tr>
      <w:tr>
        <w:trPr/>
        <w:tc>
          <w:tcPr>
            <w:tcW w:w="11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1"/>
              </w:rPr>
            </w:pPr>
            <w:r>
              <w:rPr>
                <w:rFonts w:ascii="Times New Roman;Times;serif" w:hAnsi="Times New Roman;Times;serif"/>
                <w:sz w:val="21"/>
              </w:rPr>
              <w:t>Exhibit No.</w:t>
            </w:r>
          </w:p>
        </w:tc>
        <w:tc>
          <w:tcPr>
            <w:tcW w:w="346" w:type="dxa"/>
            <w:tcBorders/>
            <w:vAlign w:val="center"/>
          </w:tcPr>
          <w:p>
            <w:pPr>
              <w:pStyle w:val="TableContents"/>
              <w:bidi w:val="0"/>
              <w:spacing w:before="0" w:after="0"/>
              <w:ind w:left="0" w:right="0" w:hanging="0"/>
              <w:jc w:val="left"/>
              <w:rPr/>
            </w:pPr>
            <w:r>
              <w:rPr/>
              <w:t>  ​ ​ ​</w:t>
            </w:r>
          </w:p>
        </w:tc>
        <w:tc>
          <w:tcPr>
            <w:tcW w:w="54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1"/>
              </w:rPr>
            </w:pPr>
            <w:r>
              <w:rPr>
                <w:rFonts w:ascii="Times New Roman;Times;serif" w:hAnsi="Times New Roman;Times;serif"/>
                <w:sz w:val="21"/>
              </w:rPr>
              <w:t>Exhibit</w:t>
            </w:r>
          </w:p>
        </w:tc>
      </w:tr>
      <w:tr>
        <w:trPr/>
        <w:tc>
          <w:tcPr>
            <w:tcW w:w="112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1"/>
              </w:rPr>
            </w:pPr>
            <w:r>
              <w:rPr>
                <w:rFonts w:ascii="Times New Roman;Times;serif" w:hAnsi="Times New Roman;Times;serif"/>
                <w:sz w:val="21"/>
              </w:rPr>
              <w:t>99.1</w:t>
            </w:r>
          </w:p>
        </w:tc>
        <w:tc>
          <w:tcPr>
            <w:tcW w:w="346" w:type="dxa"/>
            <w:tcBorders/>
            <w:vAlign w:val="center"/>
          </w:tcPr>
          <w:p>
            <w:pPr>
              <w:pStyle w:val="TableContents"/>
              <w:bidi w:val="0"/>
              <w:spacing w:before="0" w:after="0"/>
              <w:ind w:left="0" w:right="0" w:hanging="0"/>
              <w:jc w:val="left"/>
              <w:rPr/>
            </w:pPr>
            <w:r>
              <w:rPr/>
              <w:t>​</w:t>
            </w:r>
          </w:p>
        </w:tc>
        <w:tc>
          <w:tcPr>
            <w:tcW w:w="5401" w:type="dxa"/>
            <w:tcBorders>
              <w:top w:val="single" w:sz="2" w:space="0" w:color="000000"/>
            </w:tcBorders>
            <w:tcMar>
              <w:top w:w="28" w:type="dxa"/>
            </w:tcMar>
            <w:vAlign w:val="center"/>
          </w:tcPr>
          <w:p>
            <w:pPr>
              <w:pStyle w:val="TableContents"/>
              <w:bidi w:val="0"/>
              <w:spacing w:before="0" w:after="0"/>
              <w:ind w:left="0" w:right="0" w:hanging="0"/>
              <w:jc w:val="left"/>
              <w:rPr/>
            </w:pPr>
            <w:hyperlink w:anchor="park-20260812xex99d1.htm">
              <w:r>
                <w:rPr>
                  <w:rStyle w:val="InternetLink"/>
                  <w:rFonts w:ascii="Times New Roman;Times;serif" w:hAnsi="Times New Roman;Times;serif"/>
                  <w:b w:val="false"/>
                  <w:i w:val="false"/>
                  <w:caps w:val="false"/>
                  <w:smallCaps w:val="false"/>
                  <w:sz w:val="20"/>
                </w:rPr>
                <w:t>Press Release dated August 12, 2026 of Park Dental Partners, Inc.</w:t>
              </w:r>
            </w:hyperlink>
          </w:p>
        </w:tc>
      </w:tr>
      <w:tr>
        <w:trPr/>
        <w:tc>
          <w:tcPr>
            <w:tcW w:w="1126" w:type="dxa"/>
            <w:tcBorders/>
            <w:vAlign w:val="center"/>
          </w:tcPr>
          <w:p>
            <w:pPr>
              <w:pStyle w:val="TableContents"/>
              <w:bidi w:val="0"/>
              <w:spacing w:before="0" w:after="0"/>
              <w:ind w:left="0" w:right="0" w:hanging="0"/>
              <w:jc w:val="left"/>
              <w:rPr>
                <w:rFonts w:ascii="Times New Roman;Times;serif" w:hAnsi="Times New Roman;Times;serif"/>
                <w:sz w:val="21"/>
              </w:rPr>
            </w:pPr>
            <w:r>
              <w:rPr>
                <w:rFonts w:ascii="Times New Roman;Times;serif" w:hAnsi="Times New Roman;Times;serif"/>
                <w:sz w:val="21"/>
              </w:rPr>
              <w:t>104</w:t>
            </w:r>
          </w:p>
        </w:tc>
        <w:tc>
          <w:tcPr>
            <w:tcW w:w="346" w:type="dxa"/>
            <w:tcBorders/>
            <w:vAlign w:val="center"/>
          </w:tcPr>
          <w:p>
            <w:pPr>
              <w:pStyle w:val="TableContents"/>
              <w:bidi w:val="0"/>
              <w:spacing w:before="0" w:after="0"/>
              <w:ind w:left="0" w:right="0" w:hanging="0"/>
              <w:jc w:val="left"/>
              <w:rPr/>
            </w:pPr>
            <w:r>
              <w:rPr/>
              <w:t>​</w:t>
            </w:r>
          </w:p>
        </w:tc>
        <w:tc>
          <w:tcPr>
            <w:tcW w:w="5401" w:type="dxa"/>
            <w:tcBorders/>
            <w:vAlign w:val="center"/>
          </w:tcPr>
          <w:p>
            <w:pPr>
              <w:pStyle w:val="TableContents"/>
              <w:bidi w:val="0"/>
              <w:spacing w:before="0" w:after="0"/>
              <w:ind w:left="0" w:right="0" w:hanging="0"/>
              <w:jc w:val="left"/>
              <w:rPr>
                <w:rFonts w:ascii="Times New Roman;Times;serif" w:hAnsi="Times New Roman;Times;serif"/>
                <w:sz w:val="21"/>
              </w:rPr>
            </w:pPr>
            <w:r>
              <w:rPr>
                <w:rFonts w:ascii="Times New Roman;Times;serif" w:hAnsi="Times New Roman;Times;serif"/>
                <w:sz w:val="21"/>
              </w:rPr>
              <w:t>Cover Page Interactive Data File (formatted as Inline XBRL)</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23" w:name="_f74e5f83_e6ca_43f3_8593_35865121ec54"/>
      <w:bookmarkEnd w:id="23"/>
      <w:r>
        <w:rPr>
          <w:rFonts w:ascii="Times New Roman;Times;serif" w:hAnsi="Times New Roman;Times;serif"/>
          <w:b/>
          <w:sz w:val="20"/>
        </w:rPr>
        <w:t>SIGNATURES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Date: August 12, 2026</w:t>
      </w:r>
    </w:p>
    <w:tbl>
      <w:tblPr>
        <w:tblW w:w="3229" w:type="dxa"/>
        <w:jc w:val="left"/>
        <w:tblInd w:w="0" w:type="dxa"/>
        <w:tblLayout w:type="fixed"/>
        <w:tblCellMar>
          <w:top w:w="0" w:type="dxa"/>
          <w:left w:w="0" w:type="dxa"/>
          <w:bottom w:w="0" w:type="dxa"/>
          <w:right w:w="0" w:type="dxa"/>
        </w:tblCellMar>
      </w:tblPr>
      <w:tblGrid>
        <w:gridCol w:w="124"/>
        <w:gridCol w:w="646"/>
        <w:gridCol w:w="2459"/>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78740" cy="175260"/>
                      <wp:effectExtent l="0" t="0" r="0" b="0"/>
                      <wp:wrapNone/>
                      <wp:docPr id="6" name="Frame6"/>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0"/>
              <w:ind w:left="0" w:right="0" w:hanging="0"/>
              <w:jc w:val="left"/>
              <w:rPr/>
            </w:pPr>
            <w:r>
              <w:rPr/>
              <w:t>​</w:t>
            </w:r>
          </w:p>
        </w:tc>
        <w:tc>
          <w:tcPr>
            <w:tcW w:w="24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561465" cy="175260"/>
                      <wp:effectExtent l="0" t="0" r="0" b="0"/>
                      <wp:wrapNone/>
                      <wp:docPr id="7" name="Frame7"/>
                      <a:graphic xmlns:a="http://schemas.openxmlformats.org/drawingml/2006/main">
                        <a:graphicData uri="http://schemas.microsoft.com/office/word/2010/wordprocessingShape">
                          <wps:wsp>
                            <wps:cNvSpPr txBox="1"/>
                            <wps:spPr>
                              <a:xfrm>
                                <a:off x="0" y="0"/>
                                <a:ext cx="1561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310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PARK DENTAL PARTNERS, INC.</w:t>
            </w:r>
          </w:p>
        </w:tc>
      </w:tr>
      <w:tr>
        <w:trPr/>
        <w:tc>
          <w:tcPr>
            <w:tcW w:w="124"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left"/>
              <w:rPr/>
            </w:pPr>
            <w:r>
              <w:rPr/>
              <w:t>​</w:t>
            </w:r>
          </w:p>
        </w:tc>
        <w:tc>
          <w:tcPr>
            <w:tcW w:w="2459"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5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Christopher J. Bernander</w:t>
            </w:r>
          </w:p>
        </w:tc>
      </w:tr>
      <w:tr>
        <w:trPr/>
        <w:tc>
          <w:tcPr>
            <w:tcW w:w="124"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459"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Christopher J. Bernander</w:t>
            </w:r>
          </w:p>
        </w:tc>
      </w:tr>
      <w:tr>
        <w:trPr/>
        <w:tc>
          <w:tcPr>
            <w:tcW w:w="124"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4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60"/>
        <w:ind w:left="0" w:right="0" w:hanging="0"/>
        <w:jc w:val="right"/>
        <w:rPr>
          <w:rFonts w:ascii="Times New Roman;Times;serif" w:hAnsi="Times New Roman;Times;serif"/>
          <w:b/>
          <w:sz w:val="20"/>
        </w:rPr>
      </w:pPr>
      <w:bookmarkStart w:id="24" w:name="park-20260812xex99d1.htm"/>
      <w:bookmarkStart w:id="25" w:name="kspark20260812xex99d1"/>
      <w:bookmarkEnd w:id="24"/>
      <w:bookmarkEnd w:id="25"/>
      <w:r>
        <w:rPr>
          <w:rFonts w:ascii="Times New Roman;Times;serif" w:hAnsi="Times New Roman;Times;serif"/>
          <w:b/>
          <w:sz w:val="20"/>
        </w:rPr>
        <w:t>Exhibit 99.1</w:t>
      </w:r>
      <w:r>
        <w:br w:type="page"/>
      </w:r>
    </w:p>
    <w:p>
      <w:pPr>
        <w:pStyle w:val="TextBody"/>
        <w:bidi w:val="0"/>
        <w:spacing w:before="0" w:after="160"/>
        <w:ind w:left="0" w:right="0" w:hanging="0"/>
        <w:jc w:val="left"/>
        <w:rPr>
          <w:rFonts w:ascii="Times New Roman;Times;serif" w:hAnsi="Times New Roman;Times;serif"/>
          <w:b/>
          <w:sz w:val="20"/>
        </w:rPr>
      </w:pPr>
      <w:r>
        <w:rPr>
          <w:rFonts w:ascii="Times New Roman;Times;serif" w:hAnsi="Times New Roman;Times;serif"/>
          <w:b/>
          <w:sz w:val="20"/>
        </w:rPr>
        <w:t>Park Dental Partners Announces Second Quarter 2026 Results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IMMEDIATE RELEASE </w:t>
      </w:r>
    </w:p>
    <w:p>
      <w:pPr>
        <w:pStyle w:val="TextBody"/>
        <w:bidi w:val="0"/>
        <w:spacing w:before="100" w:after="10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Minneapolis, Minn. — August 12, 2026 — Park Dental Partners, Inc. (NASDAQ: PARK)</w:t>
      </w:r>
      <w:r>
        <w:rPr>
          <w:rFonts w:ascii="Times New Roman;Times;serif" w:hAnsi="Times New Roman;Times;serif"/>
          <w:sz w:val="20"/>
          <w:shd w:fill="FFFFFF" w:val="clear"/>
        </w:rPr>
        <w:t> and affiliated dental practices (“Park Dental Partners,” “we,” “our,” “us,” or the “Company”)</w:t>
      </w:r>
      <w:r>
        <w:rPr>
          <w:rFonts w:ascii="Times New Roman;Times;serif" w:hAnsi="Times New Roman;Times;serif"/>
          <w:sz w:val="20"/>
        </w:rPr>
        <w:t> today reported its second quarter financial results for 2026.  Summary financial results are listed below and in the accompanying supplemental financial tables.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059"/>
        <w:gridCol w:w="346"/>
        <w:gridCol w:w="196"/>
        <w:gridCol w:w="421"/>
        <w:gridCol w:w="346"/>
        <w:gridCol w:w="109"/>
        <w:gridCol w:w="196"/>
        <w:gridCol w:w="421"/>
        <w:gridCol w:w="346"/>
        <w:gridCol w:w="109"/>
        <w:gridCol w:w="196"/>
        <w:gridCol w:w="531"/>
        <w:gridCol w:w="361"/>
        <w:gridCol w:w="109"/>
        <w:gridCol w:w="196"/>
        <w:gridCol w:w="511"/>
        <w:gridCol w:w="346"/>
        <w:gridCol w:w="109"/>
        <w:gridCol w:w="196"/>
        <w:gridCol w:w="511"/>
        <w:gridCol w:w="346"/>
        <w:gridCol w:w="109"/>
        <w:gridCol w:w="196"/>
        <w:gridCol w:w="531"/>
        <w:gridCol w:w="408"/>
      </w:tblGrid>
      <w:tr>
        <w:trPr/>
        <w:tc>
          <w:tcPr>
            <w:tcW w:w="30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942465" cy="175260"/>
                      <wp:effectExtent l="0" t="0" r="0" b="0"/>
                      <wp:wrapNone/>
                      <wp:docPr id="8" name="Frame8"/>
                      <a:graphic xmlns:a="http://schemas.openxmlformats.org/drawingml/2006/main">
                        <a:graphicData uri="http://schemas.microsoft.com/office/word/2010/wordprocessingShape">
                          <wps:wsp>
                            <wps:cNvSpPr txBox="1"/>
                            <wps:spPr>
                              <a:xfrm>
                                <a:off x="0" y="0"/>
                                <a:ext cx="1942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19710" cy="175260"/>
                      <wp:effectExtent l="0" t="0" r="0" b="0"/>
                      <wp:wrapNone/>
                      <wp:docPr id="9" name="Frame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24460" cy="175260"/>
                      <wp:effectExtent l="0" t="0" r="0" b="0"/>
                      <wp:wrapNone/>
                      <wp:docPr id="10" name="Frame1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67335" cy="175260"/>
                      <wp:effectExtent l="0" t="0" r="0" b="0"/>
                      <wp:wrapNone/>
                      <wp:docPr id="11" name="Frame11"/>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19710" cy="175260"/>
                      <wp:effectExtent l="0" t="0" r="0" b="0"/>
                      <wp:wrapNone/>
                      <wp:docPr id="12" name="Frame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9215" cy="175260"/>
                      <wp:effectExtent l="0" t="0" r="0" b="0"/>
                      <wp:wrapNone/>
                      <wp:docPr id="13" name="Frame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24460" cy="175260"/>
                      <wp:effectExtent l="0" t="0" r="0" b="0"/>
                      <wp:wrapNone/>
                      <wp:docPr id="14" name="Frame1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67335" cy="175260"/>
                      <wp:effectExtent l="0" t="0" r="0" b="0"/>
                      <wp:wrapNone/>
                      <wp:docPr id="15" name="Frame15"/>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19710" cy="175260"/>
                      <wp:effectExtent l="0" t="0" r="0" b="0"/>
                      <wp:wrapNone/>
                      <wp:docPr id="16" name="Frame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9215" cy="175260"/>
                      <wp:effectExtent l="0" t="0" r="0" b="0"/>
                      <wp:wrapNone/>
                      <wp:docPr id="17" name="Frame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24460" cy="175260"/>
                      <wp:effectExtent l="0" t="0" r="0" b="0"/>
                      <wp:wrapNone/>
                      <wp:docPr id="18" name="Frame1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337185" cy="175260"/>
                      <wp:effectExtent l="0" t="0" r="0" b="0"/>
                      <wp:wrapNone/>
                      <wp:docPr id="19" name="Frame19"/>
                      <a:graphic xmlns:a="http://schemas.openxmlformats.org/drawingml/2006/main">
                        <a:graphicData uri="http://schemas.microsoft.com/office/word/2010/wordprocessingShape">
                          <wps:wsp>
                            <wps:cNvSpPr txBox="1"/>
                            <wps:spPr>
                              <a:xfrm>
                                <a:off x="0" y="0"/>
                                <a:ext cx="337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29235" cy="175260"/>
                      <wp:effectExtent l="0" t="0" r="0" b="0"/>
                      <wp:wrapNone/>
                      <wp:docPr id="20" name="Frame2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9215" cy="175260"/>
                      <wp:effectExtent l="0" t="0" r="0" b="0"/>
                      <wp:wrapNone/>
                      <wp:docPr id="21" name="Frame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24460" cy="175260"/>
                      <wp:effectExtent l="0" t="0" r="0" b="0"/>
                      <wp:wrapNone/>
                      <wp:docPr id="22" name="Frame2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324485" cy="175260"/>
                      <wp:effectExtent l="0" t="0" r="0" b="0"/>
                      <wp:wrapNone/>
                      <wp:docPr id="23" name="Frame23"/>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19710" cy="175260"/>
                      <wp:effectExtent l="0" t="0" r="0" b="0"/>
                      <wp:wrapNone/>
                      <wp:docPr id="24" name="Frame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9215" cy="175260"/>
                      <wp:effectExtent l="0" t="0" r="0" b="0"/>
                      <wp:wrapNone/>
                      <wp:docPr id="25" name="Frame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24460" cy="175260"/>
                      <wp:effectExtent l="0" t="0" r="0" b="0"/>
                      <wp:wrapNone/>
                      <wp:docPr id="26" name="Frame2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324485" cy="175260"/>
                      <wp:effectExtent l="0" t="0" r="0" b="0"/>
                      <wp:wrapNone/>
                      <wp:docPr id="27" name="Frame27"/>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19710" cy="175260"/>
                      <wp:effectExtent l="0" t="0" r="0" b="0"/>
                      <wp:wrapNone/>
                      <wp:docPr id="28" name="Frame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9215" cy="175260"/>
                      <wp:effectExtent l="0" t="0" r="0" b="0"/>
                      <wp:wrapNone/>
                      <wp:docPr id="29" name="Frame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24460" cy="175260"/>
                      <wp:effectExtent l="0" t="0" r="0" b="0"/>
                      <wp:wrapNone/>
                      <wp:docPr id="30" name="Frame3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337185" cy="175260"/>
                      <wp:effectExtent l="0" t="0" r="0" b="0"/>
                      <wp:wrapNone/>
                      <wp:docPr id="31" name="Frame31"/>
                      <a:graphic xmlns:a="http://schemas.openxmlformats.org/drawingml/2006/main">
                        <a:graphicData uri="http://schemas.microsoft.com/office/word/2010/wordprocessingShape">
                          <wps:wsp>
                            <wps:cNvSpPr txBox="1"/>
                            <wps:spPr>
                              <a:xfrm>
                                <a:off x="0" y="0"/>
                                <a:ext cx="337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59080" cy="175260"/>
                      <wp:effectExtent l="0" t="0" r="0" b="0"/>
                      <wp:wrapNone/>
                      <wp:docPr id="32" name="Frame32"/>
                      <a:graphic xmlns:a="http://schemas.openxmlformats.org/drawingml/2006/main">
                        <a:graphicData uri="http://schemas.microsoft.com/office/word/2010/wordprocessingShape">
                          <wps:wsp>
                            <wps:cNvSpPr txBox="1"/>
                            <wps:spPr>
                              <a:xfrm>
                                <a:off x="0" y="0"/>
                                <a:ext cx="259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59"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(Unaudited, in millions, except per share data,</w:t>
            </w:r>
          </w:p>
        </w:tc>
        <w:tc>
          <w:tcPr>
            <w:tcW w:w="346" w:type="dxa"/>
            <w:tcBorders/>
            <w:vAlign w:val="center"/>
          </w:tcPr>
          <w:p>
            <w:pPr>
              <w:pStyle w:val="TableContents"/>
              <w:bidi w:val="0"/>
              <w:spacing w:before="0" w:after="0"/>
              <w:ind w:left="0" w:right="0" w:hanging="0"/>
              <w:jc w:val="left"/>
              <w:rPr/>
            </w:pPr>
            <w:r>
              <w:rPr/>
              <w:t>​</w:t>
            </w:r>
          </w:p>
        </w:tc>
        <w:tc>
          <w:tcPr>
            <w:tcW w:w="2871"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051"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408" w:type="dxa"/>
            <w:tcBorders/>
            <w:vAlign w:val="center"/>
          </w:tcPr>
          <w:p>
            <w:pPr>
              <w:pStyle w:val="TableContents"/>
              <w:bidi w:val="0"/>
              <w:spacing w:before="0" w:after="0"/>
              <w:ind w:left="0" w:right="0" w:hanging="0"/>
              <w:jc w:val="left"/>
              <w:rPr/>
            </w:pPr>
            <w:r>
              <w:rPr/>
              <w:t>​</w:t>
            </w:r>
          </w:p>
        </w:tc>
      </w:tr>
      <w:tr>
        <w:trPr/>
        <w:tc>
          <w:tcPr>
            <w:tcW w:w="305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and Doctor counts)</w:t>
            </w:r>
          </w:p>
        </w:tc>
        <w:tc>
          <w:tcPr>
            <w:tcW w:w="346" w:type="dxa"/>
            <w:tcBorders/>
            <w:vAlign w:val="center"/>
          </w:tcPr>
          <w:p>
            <w:pPr>
              <w:pStyle w:val="TableContents"/>
              <w:bidi w:val="0"/>
              <w:spacing w:before="0" w:after="0"/>
              <w:ind w:left="0" w:right="0" w:hanging="0"/>
              <w:jc w:val="left"/>
              <w:rPr/>
            </w:pPr>
            <w:r>
              <w:rPr/>
              <w:t>  ​ ​ ​</w:t>
            </w:r>
          </w:p>
        </w:tc>
        <w:tc>
          <w:tcPr>
            <w:tcW w:w="6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2026</w:t>
            </w:r>
          </w:p>
        </w:tc>
        <w:tc>
          <w:tcPr>
            <w:tcW w:w="346" w:type="dxa"/>
            <w:tcBorders/>
            <w:vAlign w:val="center"/>
          </w:tcPr>
          <w:p>
            <w:pPr>
              <w:pStyle w:val="TableContents"/>
              <w:bidi w:val="0"/>
              <w:spacing w:before="0" w:after="0"/>
              <w:ind w:left="0" w:right="0" w:hanging="0"/>
              <w:jc w:val="left"/>
              <w:rPr/>
            </w:pPr>
            <w:r>
              <w:rPr/>
              <w:t>  ​ ​ ​</w:t>
            </w:r>
          </w:p>
        </w:tc>
        <w:tc>
          <w:tcPr>
            <w:tcW w:w="109" w:type="dxa"/>
            <w:tcBorders/>
            <w:vAlign w:val="center"/>
          </w:tcPr>
          <w:p>
            <w:pPr>
              <w:pStyle w:val="TableContents"/>
              <w:bidi w:val="0"/>
              <w:spacing w:before="0" w:after="0"/>
              <w:ind w:left="0" w:right="0" w:hanging="0"/>
              <w:jc w:val="left"/>
              <w:rPr/>
            </w:pPr>
            <w:r>
              <w:rPr/>
              <w:t>​</w:t>
            </w:r>
          </w:p>
        </w:tc>
        <w:tc>
          <w:tcPr>
            <w:tcW w:w="6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2025</w:t>
            </w:r>
          </w:p>
        </w:tc>
        <w:tc>
          <w:tcPr>
            <w:tcW w:w="346" w:type="dxa"/>
            <w:tcBorders/>
            <w:vAlign w:val="center"/>
          </w:tcPr>
          <w:p>
            <w:pPr>
              <w:pStyle w:val="TableContents"/>
              <w:bidi w:val="0"/>
              <w:spacing w:before="0" w:after="0"/>
              <w:ind w:left="0" w:right="0" w:hanging="0"/>
              <w:jc w:val="left"/>
              <w:rPr/>
            </w:pPr>
            <w:r>
              <w:rPr/>
              <w:t>  ​ ​ ​</w:t>
            </w:r>
          </w:p>
        </w:tc>
        <w:tc>
          <w:tcPr>
            <w:tcW w:w="109" w:type="dxa"/>
            <w:tcBorders/>
            <w:vAlign w:val="center"/>
          </w:tcPr>
          <w:p>
            <w:pPr>
              <w:pStyle w:val="TableContents"/>
              <w:bidi w:val="0"/>
              <w:spacing w:before="0" w:after="0"/>
              <w:ind w:left="0" w:right="0" w:hanging="0"/>
              <w:jc w:val="left"/>
              <w:rPr/>
            </w:pPr>
            <w:r>
              <w:rPr/>
              <w:t>​</w:t>
            </w:r>
          </w:p>
        </w:tc>
        <w:tc>
          <w:tcPr>
            <w:tcW w:w="7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Change</w:t>
            </w:r>
          </w:p>
        </w:tc>
        <w:tc>
          <w:tcPr>
            <w:tcW w:w="361" w:type="dxa"/>
            <w:tcBorders/>
            <w:vAlign w:val="center"/>
          </w:tcPr>
          <w:p>
            <w:pPr>
              <w:pStyle w:val="TableContents"/>
              <w:bidi w:val="0"/>
              <w:spacing w:before="0" w:after="0"/>
              <w:ind w:left="0" w:right="0" w:hanging="0"/>
              <w:jc w:val="left"/>
              <w:rPr/>
            </w:pPr>
            <w:r>
              <w:rPr/>
              <w:t>  ​ ​ ​</w:t>
            </w:r>
          </w:p>
        </w:tc>
        <w:tc>
          <w:tcPr>
            <w:tcW w:w="109" w:type="dxa"/>
            <w:tcBorders/>
            <w:vAlign w:val="center"/>
          </w:tcPr>
          <w:p>
            <w:pPr>
              <w:pStyle w:val="TableContents"/>
              <w:bidi w:val="0"/>
              <w:spacing w:before="0" w:after="0"/>
              <w:ind w:left="0" w:right="0" w:hanging="0"/>
              <w:jc w:val="left"/>
              <w:rPr/>
            </w:pPr>
            <w:r>
              <w:rPr/>
              <w:t>​</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2026</w:t>
            </w:r>
          </w:p>
        </w:tc>
        <w:tc>
          <w:tcPr>
            <w:tcW w:w="346" w:type="dxa"/>
            <w:tcBorders/>
            <w:vAlign w:val="center"/>
          </w:tcPr>
          <w:p>
            <w:pPr>
              <w:pStyle w:val="TableContents"/>
              <w:bidi w:val="0"/>
              <w:spacing w:before="0" w:after="0"/>
              <w:ind w:left="0" w:right="0" w:hanging="0"/>
              <w:jc w:val="left"/>
              <w:rPr/>
            </w:pPr>
            <w:r>
              <w:rPr/>
              <w:t>  ​ ​ ​</w:t>
            </w:r>
          </w:p>
        </w:tc>
        <w:tc>
          <w:tcPr>
            <w:tcW w:w="109" w:type="dxa"/>
            <w:tcBorders/>
            <w:vAlign w:val="center"/>
          </w:tcPr>
          <w:p>
            <w:pPr>
              <w:pStyle w:val="TableContents"/>
              <w:bidi w:val="0"/>
              <w:spacing w:before="0" w:after="0"/>
              <w:ind w:left="0" w:right="0" w:hanging="0"/>
              <w:jc w:val="left"/>
              <w:rPr/>
            </w:pPr>
            <w:r>
              <w:rPr/>
              <w:t>​</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2025</w:t>
            </w:r>
          </w:p>
        </w:tc>
        <w:tc>
          <w:tcPr>
            <w:tcW w:w="346" w:type="dxa"/>
            <w:tcBorders/>
            <w:vAlign w:val="center"/>
          </w:tcPr>
          <w:p>
            <w:pPr>
              <w:pStyle w:val="TableContents"/>
              <w:bidi w:val="0"/>
              <w:spacing w:before="0" w:after="0"/>
              <w:ind w:left="0" w:right="0" w:hanging="0"/>
              <w:jc w:val="left"/>
              <w:rPr/>
            </w:pPr>
            <w:r>
              <w:rPr/>
              <w:t>  ​ ​ ​</w:t>
            </w:r>
          </w:p>
        </w:tc>
        <w:tc>
          <w:tcPr>
            <w:tcW w:w="109" w:type="dxa"/>
            <w:tcBorders/>
            <w:vAlign w:val="center"/>
          </w:tcPr>
          <w:p>
            <w:pPr>
              <w:pStyle w:val="TableContents"/>
              <w:bidi w:val="0"/>
              <w:spacing w:before="0" w:after="0"/>
              <w:ind w:left="0" w:right="0" w:hanging="0"/>
              <w:jc w:val="left"/>
              <w:rPr/>
            </w:pPr>
            <w:r>
              <w:rPr/>
              <w:t>​</w:t>
            </w:r>
          </w:p>
        </w:tc>
        <w:tc>
          <w:tcPr>
            <w:tcW w:w="7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Change</w:t>
            </w:r>
          </w:p>
        </w:tc>
        <w:tc>
          <w:tcPr>
            <w:tcW w:w="408" w:type="dxa"/>
            <w:tcBorders/>
            <w:vAlign w:val="center"/>
          </w:tcPr>
          <w:p>
            <w:pPr>
              <w:pStyle w:val="TableContents"/>
              <w:bidi w:val="0"/>
              <w:spacing w:before="0" w:after="0"/>
              <w:ind w:left="0" w:right="0" w:hanging="0"/>
              <w:jc w:val="left"/>
              <w:rPr/>
            </w:pPr>
            <w:r>
              <w:rPr/>
              <w:t>​</w:t>
            </w:r>
          </w:p>
        </w:tc>
      </w:tr>
      <w:tr>
        <w:trPr/>
        <w:tc>
          <w:tcPr>
            <w:tcW w:w="305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Revenue</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66.2</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63.0</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128.9</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122.0</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w:t>
            </w:r>
          </w:p>
        </w:tc>
        <w:tc>
          <w:tcPr>
            <w:tcW w:w="40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305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Gross Margin</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11.9</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(20.1)</w:t>
            </w:r>
          </w:p>
        </w:tc>
        <w:tc>
          <w:tcPr>
            <w:tcW w:w="3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15.9</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21.8</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(27.0)</w:t>
            </w:r>
          </w:p>
        </w:tc>
        <w:tc>
          <w:tcPr>
            <w:tcW w:w="40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305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Gross Margin percentage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14.4</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18.9</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bps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12.3</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17.8</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(550)</w:t>
            </w:r>
          </w:p>
        </w:tc>
        <w:tc>
          <w:tcPr>
            <w:tcW w:w="40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bps</w:t>
            </w:r>
          </w:p>
        </w:tc>
      </w:tr>
      <w:tr>
        <w:trPr/>
        <w:tc>
          <w:tcPr>
            <w:tcW w:w="305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(76.8)</w:t>
            </w:r>
          </w:p>
        </w:tc>
        <w:tc>
          <w:tcPr>
            <w:tcW w:w="40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305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Diluted EPS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0.22</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1.45</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(1.23)</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0.16</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2.33</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(2.17)</w:t>
            </w:r>
          </w:p>
        </w:tc>
        <w:tc>
          <w:tcPr>
            <w:tcW w:w="408" w:type="dxa"/>
            <w:tcBorders/>
            <w:shd w:fill="CCEEFF" w:val="clear"/>
            <w:vAlign w:val="center"/>
          </w:tcPr>
          <w:p>
            <w:pPr>
              <w:pStyle w:val="TableContents"/>
              <w:bidi w:val="0"/>
              <w:spacing w:before="0" w:after="0"/>
              <w:ind w:left="0" w:right="0" w:hanging="0"/>
              <w:jc w:val="left"/>
              <w:rPr/>
            </w:pPr>
            <w:r>
              <w:rPr/>
              <w:t>​</w:t>
            </w:r>
          </w:p>
        </w:tc>
      </w:tr>
      <w:tr>
        <w:trPr/>
        <w:tc>
          <w:tcPr>
            <w:tcW w:w="305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right"/>
              <w:rPr/>
            </w:pPr>
            <w:r>
              <w:rPr/>
              <w:t>​</w:t>
            </w:r>
          </w:p>
        </w:tc>
        <w:tc>
          <w:tcPr>
            <w:tcW w:w="408" w:type="dxa"/>
            <w:tcBorders/>
            <w:vAlign w:val="center"/>
          </w:tcPr>
          <w:p>
            <w:pPr>
              <w:pStyle w:val="TableContents"/>
              <w:bidi w:val="0"/>
              <w:spacing w:before="0" w:after="0"/>
              <w:ind w:left="0" w:right="0" w:hanging="0"/>
              <w:jc w:val="left"/>
              <w:rPr/>
            </w:pPr>
            <w:r>
              <w:rPr/>
              <w:t>​</w:t>
            </w:r>
          </w:p>
        </w:tc>
      </w:tr>
      <w:tr>
        <w:trPr/>
        <w:tc>
          <w:tcPr>
            <w:tcW w:w="305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Adjusted Gross Margin</w:t>
            </w:r>
            <w:r>
              <w:rPr>
                <w:rFonts w:ascii="Times New Roman;Times;serif" w:hAnsi="Times New Roman;Times;serif"/>
                <w:sz w:val="14"/>
              </w:rPr>
              <w:t>(a)</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14.7</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14.1</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26.9</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26.0</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w:t>
            </w:r>
          </w:p>
        </w:tc>
        <w:tc>
          <w:tcPr>
            <w:tcW w:w="40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305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Adjusted Gross Margin Percentage</w:t>
            </w:r>
            <w:r>
              <w:rPr>
                <w:rFonts w:ascii="Times New Roman;Times;serif" w:hAnsi="Times New Roman;Times;serif"/>
                <w:sz w:val="14"/>
              </w:rPr>
              <w:t>(a)</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22.2</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22.4</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bps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20.9</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21.3</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w:t>
            </w:r>
          </w:p>
        </w:tc>
        <w:tc>
          <w:tcPr>
            <w:tcW w:w="40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bps</w:t>
            </w:r>
          </w:p>
        </w:tc>
      </w:tr>
      <w:tr>
        <w:trPr/>
        <w:tc>
          <w:tcPr>
            <w:tcW w:w="305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Adjusted EBITDA</w:t>
            </w:r>
            <w:r>
              <w:rPr>
                <w:rFonts w:ascii="Times New Roman;Times;serif" w:hAnsi="Times New Roman;Times;serif"/>
                <w:sz w:val="14"/>
              </w:rPr>
              <w:t>(b)</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12.2</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w:t>
            </w:r>
          </w:p>
        </w:tc>
        <w:tc>
          <w:tcPr>
            <w:tcW w:w="40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305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Adjusted EBITDA margin</w:t>
            </w:r>
            <w:r>
              <w:rPr>
                <w:rFonts w:ascii="Times New Roman;Times;serif" w:hAnsi="Times New Roman;Times;serif"/>
                <w:sz w:val="14"/>
              </w:rPr>
              <w:t>(b)</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bps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9.4</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10.7</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w:t>
            </w:r>
          </w:p>
        </w:tc>
        <w:tc>
          <w:tcPr>
            <w:tcW w:w="40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bps</w:t>
            </w:r>
          </w:p>
        </w:tc>
      </w:tr>
      <w:tr>
        <w:trPr/>
        <w:tc>
          <w:tcPr>
            <w:tcW w:w="305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Adjusted Diluted EPS</w:t>
            </w:r>
            <w:r>
              <w:rPr>
                <w:rFonts w:ascii="Times New Roman;Times;serif" w:hAnsi="Times New Roman;Times;serif"/>
                <w:sz w:val="14"/>
              </w:rPr>
              <w:t>(c)</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0.66</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1.88</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(1.22)</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3.02</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(1.91)</w:t>
            </w:r>
          </w:p>
        </w:tc>
        <w:tc>
          <w:tcPr>
            <w:tcW w:w="408" w:type="dxa"/>
            <w:tcBorders/>
            <w:shd w:fill="CCEEFF" w:val="clear"/>
            <w:vAlign w:val="center"/>
          </w:tcPr>
          <w:p>
            <w:pPr>
              <w:pStyle w:val="TableContents"/>
              <w:bidi w:val="0"/>
              <w:spacing w:before="0" w:after="0"/>
              <w:ind w:left="0" w:right="0" w:hanging="0"/>
              <w:jc w:val="left"/>
              <w:rPr/>
            </w:pPr>
            <w:r>
              <w:rPr/>
              <w:t>​</w:t>
            </w:r>
          </w:p>
        </w:tc>
      </w:tr>
      <w:tr>
        <w:trPr/>
        <w:tc>
          <w:tcPr>
            <w:tcW w:w="305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right"/>
              <w:rPr/>
            </w:pPr>
            <w:r>
              <w:rPr/>
              <w:t>​</w:t>
            </w:r>
          </w:p>
        </w:tc>
        <w:tc>
          <w:tcPr>
            <w:tcW w:w="408" w:type="dxa"/>
            <w:tcBorders/>
            <w:vAlign w:val="center"/>
          </w:tcPr>
          <w:p>
            <w:pPr>
              <w:pStyle w:val="TableContents"/>
              <w:bidi w:val="0"/>
              <w:spacing w:before="0" w:after="0"/>
              <w:ind w:left="0" w:right="0" w:hanging="0"/>
              <w:jc w:val="left"/>
              <w:rPr/>
            </w:pPr>
            <w:r>
              <w:rPr/>
              <w:t>​</w:t>
            </w:r>
          </w:p>
        </w:tc>
      </w:tr>
      <w:tr>
        <w:trPr/>
        <w:tc>
          <w:tcPr>
            <w:tcW w:w="305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Same Practice Revenue Growth</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bps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w:t>
            </w:r>
          </w:p>
        </w:tc>
        <w:tc>
          <w:tcPr>
            <w:tcW w:w="40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bps</w:t>
            </w:r>
          </w:p>
        </w:tc>
      </w:tr>
      <w:tr>
        <w:trPr/>
        <w:tc>
          <w:tcPr>
            <w:tcW w:w="305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Practicing Affiliated Doctors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219</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203</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w:t>
            </w:r>
          </w:p>
        </w:tc>
        <w:tc>
          <w:tcPr>
            <w:tcW w:w="3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right"/>
              <w:rPr/>
            </w:pPr>
            <w:r>
              <w:rPr/>
              <w:t>​</w:t>
            </w:r>
          </w:p>
        </w:tc>
        <w:tc>
          <w:tcPr>
            <w:tcW w:w="408"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5853" w:type="dxa"/>
        <w:jc w:val="left"/>
        <w:tblInd w:w="0" w:type="dxa"/>
        <w:tblLayout w:type="fixed"/>
        <w:tblCellMar>
          <w:top w:w="0" w:type="dxa"/>
          <w:left w:w="0" w:type="dxa"/>
          <w:bottom w:w="0" w:type="dxa"/>
          <w:right w:w="0" w:type="dxa"/>
        </w:tblCellMar>
      </w:tblPr>
      <w:tblGrid>
        <w:gridCol w:w="23"/>
        <w:gridCol w:w="215"/>
        <w:gridCol w:w="5615"/>
      </w:tblGrid>
      <w:tr>
        <w:trPr/>
        <w:tc>
          <w:tcPr>
            <w:tcW w:w="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(a)</w:t>
            </w:r>
          </w:p>
        </w:tc>
        <w:tc>
          <w:tcPr>
            <w:tcW w:w="5615"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See Non GAAP Reconciliation of Gross Margin to Adjusted Gross Margin below</w:t>
            </w:r>
          </w:p>
        </w:tc>
      </w:tr>
    </w:tbl>
    <w:tbl>
      <w:tblPr>
        <w:tblW w:w="5403" w:type="dxa"/>
        <w:jc w:val="left"/>
        <w:tblInd w:w="0" w:type="dxa"/>
        <w:tblLayout w:type="fixed"/>
        <w:tblCellMar>
          <w:top w:w="0" w:type="dxa"/>
          <w:left w:w="0" w:type="dxa"/>
          <w:bottom w:w="0" w:type="dxa"/>
          <w:right w:w="0" w:type="dxa"/>
        </w:tblCellMar>
      </w:tblPr>
      <w:tblGrid>
        <w:gridCol w:w="23"/>
        <w:gridCol w:w="230"/>
        <w:gridCol w:w="515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(b)</w:t>
            </w:r>
          </w:p>
        </w:tc>
        <w:tc>
          <w:tcPr>
            <w:tcW w:w="5150"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See Non GAAP Reconciliation of Net Income to Adjusted EBITDA below</w:t>
            </w:r>
          </w:p>
        </w:tc>
      </w:tr>
    </w:tbl>
    <w:tbl>
      <w:tblPr>
        <w:tblW w:w="6603" w:type="dxa"/>
        <w:jc w:val="left"/>
        <w:tblInd w:w="0" w:type="dxa"/>
        <w:tblLayout w:type="fixed"/>
        <w:tblCellMar>
          <w:top w:w="0" w:type="dxa"/>
          <w:left w:w="0" w:type="dxa"/>
          <w:bottom w:w="0" w:type="dxa"/>
          <w:right w:w="0" w:type="dxa"/>
        </w:tblCellMar>
      </w:tblPr>
      <w:tblGrid>
        <w:gridCol w:w="23"/>
        <w:gridCol w:w="215"/>
        <w:gridCol w:w="6365"/>
      </w:tblGrid>
      <w:tr>
        <w:trPr/>
        <w:tc>
          <w:tcPr>
            <w:tcW w:w="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(c)</w:t>
            </w:r>
          </w:p>
        </w:tc>
        <w:tc>
          <w:tcPr>
            <w:tcW w:w="6365"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See Non GAAP Reconciliation of Earnings Per Share to Adjusted Earnings Per Share below</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Executive Commentary – Pete Swenson, Chief Executive Officer and Chair of the Board of Directors</w:t>
      </w:r>
    </w:p>
    <w:p>
      <w:pPr>
        <w:pStyle w:val="TextBody"/>
        <w:bidi w:val="0"/>
        <w:spacing w:before="100" w:after="100"/>
        <w:ind w:left="0" w:right="0" w:hanging="0"/>
        <w:jc w:val="left"/>
        <w:rPr/>
      </w:pPr>
      <w:r>
        <w:rPr/>
        <w:t>​</w:t>
      </w:r>
    </w:p>
    <w:p>
      <w:pPr>
        <w:pStyle w:val="TextBody"/>
        <w:bidi w:val="0"/>
        <w:spacing w:before="0" w:after="0"/>
        <w:ind w:left="0" w:right="0" w:hanging="0"/>
        <w:jc w:val="left"/>
        <w:rPr/>
      </w:pPr>
      <w:r>
        <w:rPr/>
        <w:t>“</w:t>
      </w:r>
      <w:r>
        <w:rPr>
          <w:rFonts w:ascii="Times New Roman;Times;serif" w:hAnsi="Times New Roman;Times;serif"/>
          <w:sz w:val="20"/>
        </w:rPr>
        <w:t>We delivered another quarter of revenue growth, supported by positive same-practice performance, strong patient retention, and continued expansion of our affiliated doctor base. Our underlying operations are performing well and generated strong operating cash flows during the quarter.</w:t>
      </w:r>
    </w:p>
    <w:p>
      <w:pPr>
        <w:pStyle w:val="TextBody"/>
        <w:bidi w:val="0"/>
        <w:spacing w:before="100" w:after="10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Patient demand across both general and specialty services remains resilient, and we continue investing in recruiting, staffing, clinical capacity, and strategic growth initiatives designed to support long-term value creation. Our balance sheet remains strong, providing flexibility to pursue disciplined acquisitions, support de novo expansion opportunities, and continue investing in our affiliated practices.”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Financial Results </w:t>
      </w:r>
    </w:p>
    <w:p>
      <w:pPr>
        <w:pStyle w:val="TextBody"/>
        <w:bidi w:val="0"/>
        <w:spacing w:before="100" w:after="10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increased 5.1% to $66.2 million for the second quarter of 2026, compared to $63.0 million in the prior-year period. For the first six months of 2026, revenue increased 5.6% to $128.9 million, compared to $122.0 million in the prior-year period. The increases were primarily driven by acquisitions completed since the comparable prior-year periods, favorable reimbursement trends, and growth in clinical hours. Revenue from acquisitions in the past 12 months contributed approximately $1.3 million in the quarter and $2.0 million year-to-date.</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was $9.5 million for the second quarter of 2026, compared to $11.9 million in the prior-year period. For the first six months of 2026, gross profit was $15.9 million, compared to $21.8 million in the prior-year period. Gross profit was impacted by higher salaries and benefits expense, including doctor share-based compensation associated with the Company's public company transition.</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was $1.3 million, or $0.22 per diluted share, for the second quarter of 2026, compared to $2.6 million, or $1.45 per diluted share, in the second quarter of 2025. For the first six months of 2026, net income was $1.0 million, or $0.16 per diluted share, compared to $4.1 million, or $2.33 per diluted share, in the prior-year period.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was $7.4 million for the second quarter of 2026, compared to $7.6 million in the prior-year period. For the first six months of 2026, Adjusted EBITDA was $12.2 million, compared to $13.0 million in the prior-year period.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diluted earnings per share was $0.66 for the second quarter of 2026, compared to $1.88 in the prior-year period. For the first six months of 2026, adjusted diluted earnings per share was $1.11, compared to $3.02 in the prior-year period.</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Affiliated Practice Updates</w:t>
      </w:r>
    </w:p>
    <w:p>
      <w:pPr>
        <w:pStyle w:val="TextBody"/>
        <w:bidi w:val="0"/>
        <w:spacing w:before="100" w:after="100"/>
        <w:ind w:left="0" w:right="0" w:hanging="0"/>
        <w:jc w:val="left"/>
        <w:rPr>
          <w:shd w:fill="C6C6C6" w:val="clear"/>
        </w:rPr>
      </w:pPr>
      <w:r>
        <w:rPr>
          <w:shd w:fill="C6C6C6" w:val="clear"/>
        </w:rPr>
        <w:t>​</w:t>
      </w:r>
    </w:p>
    <w:tbl>
      <w:tblPr>
        <w:tblW w:w="6963" w:type="dxa"/>
        <w:jc w:val="left"/>
        <w:tblInd w:w="0" w:type="dxa"/>
        <w:tblLayout w:type="fixed"/>
        <w:tblCellMar>
          <w:top w:w="0" w:type="dxa"/>
          <w:left w:w="0" w:type="dxa"/>
          <w:bottom w:w="0" w:type="dxa"/>
          <w:right w:w="0" w:type="dxa"/>
        </w:tblCellMar>
      </w:tblPr>
      <w:tblGrid>
        <w:gridCol w:w="23"/>
        <w:gridCol w:w="170"/>
        <w:gridCol w:w="67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7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we supported 87 affiliated practices and 219 affiliated doctors.</w:t>
            </w:r>
          </w:p>
        </w:tc>
      </w:tr>
    </w:tbl>
    <w:tbl>
      <w:tblPr>
        <w:tblW w:w="4128" w:type="dxa"/>
        <w:jc w:val="left"/>
        <w:tblInd w:w="0" w:type="dxa"/>
        <w:tblLayout w:type="fixed"/>
        <w:tblCellMar>
          <w:top w:w="0" w:type="dxa"/>
          <w:left w:w="0" w:type="dxa"/>
          <w:bottom w:w="0" w:type="dxa"/>
          <w:right w:w="0" w:type="dxa"/>
        </w:tblCellMar>
      </w:tblPr>
      <w:tblGrid>
        <w:gridCol w:w="23"/>
        <w:gridCol w:w="170"/>
        <w:gridCol w:w="39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quarter patient retention rate was 90.3%.</w:t>
            </w:r>
          </w:p>
        </w:tc>
      </w:tr>
    </w:tbl>
    <w:tbl>
      <w:tblPr>
        <w:tblW w:w="6003" w:type="dxa"/>
        <w:jc w:val="left"/>
        <w:tblInd w:w="0" w:type="dxa"/>
        <w:tblLayout w:type="fixed"/>
        <w:tblCellMar>
          <w:top w:w="0" w:type="dxa"/>
          <w:left w:w="0" w:type="dxa"/>
          <w:bottom w:w="0" w:type="dxa"/>
          <w:right w:w="0" w:type="dxa"/>
        </w:tblCellMar>
      </w:tblPr>
      <w:tblGrid>
        <w:gridCol w:w="23"/>
        <w:gridCol w:w="170"/>
        <w:gridCol w:w="58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Patient visits increased to 185,569 across our affiliated dental practices.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second quarter our affiliated dental practices completed one general practice acquisition in Rochester, Minnesota, as previously announced on June 4, 2026.  The acquired practices’ impact on revenues and net earnings was not material for the quarter.  </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Entered into definitive agreement to acquire Village Family DSO, as announced on August 10, 2026.  The Village Family DSO is currently affiliated with Village Family Dental practices, a multi-specialty dental group based in Fayetteville, North Carolina.  If completed, the transaction would mark our expansion into a fourth state, supporting an additional 48 doctors.  The transaction is expected to close later this year.</w:t>
            </w:r>
          </w:p>
        </w:tc>
      </w:tr>
    </w:tbl>
    <w:p>
      <w:pPr>
        <w:pStyle w:val="TextBody"/>
        <w:bidi w:val="0"/>
        <w:spacing w:before="100" w:after="10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Sheet, Liquidity, and Cash Flow</w:t>
      </w:r>
    </w:p>
    <w:p>
      <w:pPr>
        <w:pStyle w:val="TextBody"/>
        <w:bidi w:val="0"/>
        <w:spacing w:before="100" w:after="100"/>
        <w:ind w:left="0" w:right="0" w:hanging="0"/>
        <w:jc w:val="left"/>
        <w:rPr/>
      </w:pPr>
      <w:r>
        <w:rPr/>
        <w:t>​</w:t>
      </w:r>
    </w:p>
    <w:tbl>
      <w:tblPr>
        <w:tblW w:w="5583" w:type="dxa"/>
        <w:jc w:val="left"/>
        <w:tblInd w:w="0" w:type="dxa"/>
        <w:tblLayout w:type="fixed"/>
        <w:tblCellMar>
          <w:top w:w="0" w:type="dxa"/>
          <w:left w:w="0" w:type="dxa"/>
          <w:bottom w:w="0" w:type="dxa"/>
          <w:right w:w="0" w:type="dxa"/>
        </w:tblCellMar>
      </w:tblPr>
      <w:tblGrid>
        <w:gridCol w:w="23"/>
        <w:gridCol w:w="170"/>
        <w:gridCol w:w="53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were $24.4 million as of June 30, 2026.</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debt outstanding was approximately $11.0 million as of June 30, 2026, and our $15 million line of credit was undrawn at quarter end.</w:t>
            </w:r>
          </w:p>
        </w:tc>
      </w:tr>
    </w:tbl>
    <w:tbl>
      <w:tblPr>
        <w:tblW w:w="6438" w:type="dxa"/>
        <w:jc w:val="left"/>
        <w:tblInd w:w="0" w:type="dxa"/>
        <w:tblLayout w:type="fixed"/>
        <w:tblCellMar>
          <w:top w:w="0" w:type="dxa"/>
          <w:left w:w="0" w:type="dxa"/>
          <w:bottom w:w="0" w:type="dxa"/>
          <w:right w:w="0" w:type="dxa"/>
        </w:tblCellMar>
      </w:tblPr>
      <w:tblGrid>
        <w:gridCol w:w="23"/>
        <w:gridCol w:w="170"/>
        <w:gridCol w:w="62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shares outstanding were 4.7 million shares as of the end of the quarter.  </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generated $9.7 million in operating cash flow in the first half of 2026, an increase of $0.5 million compared to the prior year.  </w:t>
            </w:r>
          </w:p>
        </w:tc>
      </w:tr>
    </w:tbl>
    <w:tbl>
      <w:tblPr>
        <w:tblW w:w="4398" w:type="dxa"/>
        <w:jc w:val="left"/>
        <w:tblInd w:w="0" w:type="dxa"/>
        <w:tblLayout w:type="fixed"/>
        <w:tblCellMar>
          <w:top w:w="0" w:type="dxa"/>
          <w:left w:w="0" w:type="dxa"/>
          <w:bottom w:w="0" w:type="dxa"/>
          <w:right w:w="0" w:type="dxa"/>
        </w:tblCellMar>
      </w:tblPr>
      <w:tblGrid>
        <w:gridCol w:w="23"/>
        <w:gridCol w:w="170"/>
        <w:gridCol w:w="42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Year-to-date capital investments were $4.8 million. </w:t>
            </w:r>
          </w:p>
        </w:tc>
      </w:tr>
    </w:tbl>
    <w:p>
      <w:pPr>
        <w:pStyle w:val="TextBody"/>
        <w:bidi w:val="0"/>
        <w:spacing w:before="0" w:after="0"/>
        <w:ind w:left="0" w:right="0" w:hanging="0"/>
        <w:jc w:val="left"/>
        <w:rPr/>
      </w:pPr>
      <w:r>
        <w:rPr/>
        <w:t>​</w:t>
      </w:r>
    </w:p>
    <w:p>
      <w:pPr>
        <w:pStyle w:val="TextBody"/>
        <w:pBdr/>
        <w:bidi w:val="0"/>
        <w:spacing w:before="0" w:after="0"/>
        <w:ind w:left="0" w:right="0" w:hanging="450"/>
        <w:jc w:val="left"/>
        <w:rPr>
          <w:rFonts w:ascii="Times New Roman;Times;serif" w:hAnsi="Times New Roman;Times;serif"/>
          <w:b/>
          <w:sz w:val="20"/>
        </w:rPr>
      </w:pPr>
      <w:r>
        <w:rPr>
          <w:rFonts w:ascii="Times New Roman;Times;serif" w:hAnsi="Times New Roman;Times;serif"/>
          <w:b/>
          <w:sz w:val="20"/>
        </w:rPr>
        <w:t>Full-Year 2026 Outlook </w:t>
      </w:r>
    </w:p>
    <w:p>
      <w:pPr>
        <w:pStyle w:val="TextBody"/>
        <w:pBdr/>
        <w:bidi w:val="0"/>
        <w:spacing w:before="100" w:after="100"/>
        <w:ind w:left="0" w:right="0" w:hanging="45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our performance during the first half of 2026 and our current expectations for the remainder of the year, we are updating our full-year 2026 outlook.</w:t>
      </w:r>
    </w:p>
    <w:p>
      <w:pPr>
        <w:pStyle w:val="TextBody"/>
        <w:bidi w:val="0"/>
        <w:spacing w:before="100" w:after="10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updated outlook does not contemplate the recently announced acquisition of Village Family Dental DSO, which remains subject to customary closing conditions and is expected to close later this year. Consistent with our historical approach, only completed acquisitions are incorporated into our outlook. Following the close of the transaction, we expect to evaluate its anticipated financial impact and provide an updated outlook at an appropriate time.</w:t>
      </w:r>
    </w:p>
    <w:p>
      <w:pPr>
        <w:pStyle w:val="TextBody"/>
        <w:bidi w:val="0"/>
        <w:spacing w:before="100" w:after="10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revised outlook reflects continued confidence in the underlying performance of our affiliated practices, including patient demand, same-practice revenue growth, provider recruitment, and operational execution.</w:t>
      </w:r>
    </w:p>
    <w:p>
      <w:pPr>
        <w:pStyle w:val="TextBody"/>
        <w:bidi w:val="0"/>
        <w:spacing w:before="0" w:after="0"/>
        <w:ind w:left="0" w:right="0" w:hanging="0"/>
        <w:jc w:val="left"/>
        <w:rPr/>
      </w:pPr>
      <w:r>
        <w:rPr/>
        <w:t>​</w:t>
      </w:r>
    </w:p>
    <w:tbl>
      <w:tblPr>
        <w:tblW w:w="7477" w:type="dxa"/>
        <w:jc w:val="left"/>
        <w:tblInd w:w="0" w:type="dxa"/>
        <w:tblLayout w:type="fixed"/>
        <w:tblCellMar>
          <w:top w:w="0" w:type="dxa"/>
          <w:left w:w="0" w:type="dxa"/>
          <w:bottom w:w="0" w:type="dxa"/>
          <w:right w:w="0" w:type="dxa"/>
        </w:tblCellMar>
      </w:tblPr>
      <w:tblGrid>
        <w:gridCol w:w="2011"/>
        <w:gridCol w:w="346"/>
        <w:gridCol w:w="214"/>
        <w:gridCol w:w="1287"/>
        <w:gridCol w:w="346"/>
        <w:gridCol w:w="415"/>
        <w:gridCol w:w="1086"/>
        <w:gridCol w:w="346"/>
        <w:gridCol w:w="265"/>
        <w:gridCol w:w="845"/>
        <w:gridCol w:w="316"/>
      </w:tblGrid>
      <w:tr>
        <w:trPr/>
        <w:tc>
          <w:tcPr>
            <w:tcW w:w="2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276985" cy="175260"/>
                      <wp:effectExtent l="0" t="0" r="0" b="0"/>
                      <wp:wrapNone/>
                      <wp:docPr id="33" name="Frame33"/>
                      <a:graphic xmlns:a="http://schemas.openxmlformats.org/drawingml/2006/main">
                        <a:graphicData uri="http://schemas.microsoft.com/office/word/2010/wordprocessingShape">
                          <wps:wsp>
                            <wps:cNvSpPr txBox="1"/>
                            <wps:spPr>
                              <a:xfrm>
                                <a:off x="0" y="0"/>
                                <a:ext cx="1276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19710" cy="175260"/>
                      <wp:effectExtent l="0" t="0" r="0" b="0"/>
                      <wp:wrapNone/>
                      <wp:docPr id="34" name="Frame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35890" cy="175260"/>
                      <wp:effectExtent l="0" t="0" r="0" b="0"/>
                      <wp:wrapNone/>
                      <wp:docPr id="35" name="Frame35"/>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817245" cy="175260"/>
                      <wp:effectExtent l="0" t="0" r="0" b="0"/>
                      <wp:wrapNone/>
                      <wp:docPr id="36" name="Frame36"/>
                      <a:graphic xmlns:a="http://schemas.openxmlformats.org/drawingml/2006/main">
                        <a:graphicData uri="http://schemas.microsoft.com/office/word/2010/wordprocessingShape">
                          <wps:wsp>
                            <wps:cNvSpPr txBox="1"/>
                            <wps:spPr>
                              <a:xfrm>
                                <a:off x="0" y="0"/>
                                <a:ext cx="817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19710" cy="175260"/>
                      <wp:effectExtent l="0" t="0" r="0" b="0"/>
                      <wp:wrapNone/>
                      <wp:docPr id="37" name="Frame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63525" cy="175260"/>
                      <wp:effectExtent l="0" t="0" r="0" b="0"/>
                      <wp:wrapNone/>
                      <wp:docPr id="38" name="Frame38"/>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89610" cy="175260"/>
                      <wp:effectExtent l="0" t="0" r="0" b="0"/>
                      <wp:wrapNone/>
                      <wp:docPr id="39" name="Frame39"/>
                      <a:graphic xmlns:a="http://schemas.openxmlformats.org/drawingml/2006/main">
                        <a:graphicData uri="http://schemas.microsoft.com/office/word/2010/wordprocessingShape">
                          <wps:wsp>
                            <wps:cNvSpPr txBox="1"/>
                            <wps:spPr>
                              <a:xfrm>
                                <a:off x="0" y="0"/>
                                <a:ext cx="689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19710" cy="175260"/>
                      <wp:effectExtent l="0" t="0" r="0" b="0"/>
                      <wp:wrapNone/>
                      <wp:docPr id="40" name="Frame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68275" cy="175260"/>
                      <wp:effectExtent l="0" t="0" r="0" b="0"/>
                      <wp:wrapNone/>
                      <wp:docPr id="41" name="Frame41"/>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536575" cy="175260"/>
                      <wp:effectExtent l="0" t="0" r="0" b="0"/>
                      <wp:wrapNone/>
                      <wp:docPr id="42" name="Frame42"/>
                      <a:graphic xmlns:a="http://schemas.openxmlformats.org/drawingml/2006/main">
                        <a:graphicData uri="http://schemas.microsoft.com/office/word/2010/wordprocessingShape">
                          <wps:wsp>
                            <wps:cNvSpPr txBox="1"/>
                            <wps:spPr>
                              <a:xfrm>
                                <a:off x="0" y="0"/>
                                <a:ext cx="536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00660" cy="175260"/>
                      <wp:effectExtent l="0" t="0" r="0" b="0"/>
                      <wp:wrapNone/>
                      <wp:docPr id="43" name="Frame4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w:t>
            </w:r>
          </w:p>
        </w:tc>
        <w:tc>
          <w:tcPr>
            <w:tcW w:w="15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Ending</w:t>
            </w:r>
          </w:p>
        </w:tc>
        <w:tc>
          <w:tcPr>
            <w:tcW w:w="346" w:type="dxa"/>
            <w:tcBorders/>
            <w:vAlign w:val="center"/>
          </w:tcPr>
          <w:p>
            <w:pPr>
              <w:pStyle w:val="TableContents"/>
              <w:bidi w:val="0"/>
              <w:spacing w:before="0" w:after="0"/>
              <w:ind w:left="0" w:right="0" w:hanging="0"/>
              <w:jc w:val="center"/>
              <w:rPr/>
            </w:pPr>
            <w:r>
              <w:rPr/>
              <w:t> </w:t>
            </w:r>
          </w:p>
        </w:tc>
        <w:tc>
          <w:tcPr>
            <w:tcW w:w="15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c>
          <w:tcPr>
            <w:tcW w:w="346" w:type="dxa"/>
            <w:tcBorders/>
            <w:vAlign w:val="center"/>
          </w:tcPr>
          <w:p>
            <w:pPr>
              <w:pStyle w:val="TableContents"/>
              <w:bidi w:val="0"/>
              <w:spacing w:before="0" w:after="0"/>
              <w:ind w:left="0" w:right="0" w:hanging="0"/>
              <w:jc w:val="left"/>
              <w:rPr/>
            </w:pPr>
            <w:r>
              <w:rPr/>
              <w:t>​</w:t>
            </w:r>
          </w:p>
        </w:tc>
        <w:tc>
          <w:tcPr>
            <w:tcW w:w="111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w:t>
            </w:r>
          </w:p>
        </w:tc>
        <w:tc>
          <w:tcPr>
            <w:tcW w:w="316" w:type="dxa"/>
            <w:tcBorders/>
            <w:vAlign w:val="center"/>
          </w:tcPr>
          <w:p>
            <w:pPr>
              <w:pStyle w:val="TableContents"/>
              <w:bidi w:val="0"/>
              <w:spacing w:before="0" w:after="0"/>
              <w:ind w:left="0" w:right="0" w:hanging="0"/>
              <w:jc w:val="left"/>
              <w:rPr/>
            </w:pPr>
            <w:r>
              <w:rPr/>
              <w:t>​</w:t>
            </w:r>
          </w:p>
        </w:tc>
      </w:tr>
      <w:tr>
        <w:trPr/>
        <w:tc>
          <w:tcPr>
            <w:tcW w:w="20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w:t>
            </w:r>
          </w:p>
        </w:tc>
        <w:tc>
          <w:tcPr>
            <w:tcW w:w="15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2026</w:t>
            </w:r>
          </w:p>
        </w:tc>
        <w:tc>
          <w:tcPr>
            <w:tcW w:w="346" w:type="dxa"/>
            <w:tcBorders/>
            <w:vAlign w:val="center"/>
          </w:tcPr>
          <w:p>
            <w:pPr>
              <w:pStyle w:val="TableContents"/>
              <w:bidi w:val="0"/>
              <w:spacing w:before="0" w:after="0"/>
              <w:ind w:left="0" w:right="0" w:hanging="0"/>
              <w:jc w:val="center"/>
              <w:rPr/>
            </w:pPr>
            <w:r>
              <w:rPr/>
              <w:t> </w:t>
            </w:r>
          </w:p>
        </w:tc>
        <w:tc>
          <w:tcPr>
            <w:tcW w:w="15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0"/>
              <w:ind w:left="0" w:right="0" w:hanging="0"/>
              <w:jc w:val="left"/>
              <w:rPr/>
            </w:pPr>
            <w:r>
              <w:rPr/>
              <w:t>​</w:t>
            </w:r>
          </w:p>
        </w:tc>
        <w:tc>
          <w:tcPr>
            <w:tcW w:w="111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vAlign w:val="center"/>
          </w:tcPr>
          <w:p>
            <w:pPr>
              <w:pStyle w:val="TableContents"/>
              <w:bidi w:val="0"/>
              <w:spacing w:before="0" w:after="0"/>
              <w:ind w:left="0" w:right="0" w:hanging="0"/>
              <w:jc w:val="left"/>
              <w:rPr/>
            </w:pPr>
            <w:r>
              <w:rPr/>
              <w:t>​</w:t>
            </w:r>
          </w:p>
        </w:tc>
      </w:tr>
      <w:tr>
        <w:trPr/>
        <w:tc>
          <w:tcPr>
            <w:tcW w:w="20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i/>
                <w:sz w:val="16"/>
              </w:rPr>
            </w:pPr>
            <w:r>
              <w:rPr>
                <w:rFonts w:ascii="Times New Roman;Times;serif" w:hAnsi="Times New Roman;Times;serif"/>
                <w:b/>
                <w:i/>
                <w:sz w:val="16"/>
              </w:rPr>
              <w:t>($ in millions)</w:t>
            </w:r>
          </w:p>
        </w:tc>
        <w:tc>
          <w:tcPr>
            <w:tcW w:w="346" w:type="dxa"/>
            <w:tcBorders/>
            <w:vAlign w:val="center"/>
          </w:tcPr>
          <w:p>
            <w:pPr>
              <w:pStyle w:val="TableContents"/>
              <w:bidi w:val="0"/>
              <w:spacing w:before="0" w:after="0"/>
              <w:ind w:left="0" w:right="0" w:hanging="0"/>
              <w:jc w:val="left"/>
              <w:rPr/>
            </w:pPr>
            <w:r>
              <w:rPr/>
              <w:t>  ​ ​ ​</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(Outlook)</w:t>
            </w:r>
          </w:p>
        </w:tc>
        <w:tc>
          <w:tcPr>
            <w:tcW w:w="346" w:type="dxa"/>
            <w:tcBorders/>
            <w:vAlign w:val="center"/>
          </w:tcPr>
          <w:p>
            <w:pPr>
              <w:pStyle w:val="TableContents"/>
              <w:bidi w:val="0"/>
              <w:spacing w:before="0" w:after="0"/>
              <w:ind w:left="0" w:right="0" w:hanging="0"/>
              <w:jc w:val="left"/>
              <w:rPr/>
            </w:pPr>
            <w:r>
              <w:rPr/>
              <w:t>  ​ ​ ​</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(Actual)</w:t>
            </w:r>
          </w:p>
        </w:tc>
        <w:tc>
          <w:tcPr>
            <w:tcW w:w="346" w:type="dxa"/>
            <w:tcBorders/>
            <w:vAlign w:val="center"/>
          </w:tcPr>
          <w:p>
            <w:pPr>
              <w:pStyle w:val="TableContents"/>
              <w:bidi w:val="0"/>
              <w:spacing w:before="0" w:after="0"/>
              <w:ind w:left="0" w:right="0" w:hanging="0"/>
              <w:jc w:val="left"/>
              <w:rPr/>
            </w:pPr>
            <w:r>
              <w:rPr/>
              <w:t>  ​ ​ ​</w:t>
            </w:r>
          </w:p>
        </w:tc>
        <w:tc>
          <w:tcPr>
            <w:tcW w:w="11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(At Midpoint)</w:t>
            </w:r>
          </w:p>
        </w:tc>
        <w:tc>
          <w:tcPr>
            <w:tcW w:w="316" w:type="dxa"/>
            <w:tcBorders/>
            <w:vAlign w:val="center"/>
          </w:tcPr>
          <w:p>
            <w:pPr>
              <w:pStyle w:val="TableContents"/>
              <w:bidi w:val="0"/>
              <w:spacing w:before="0" w:after="0"/>
              <w:ind w:left="0" w:right="0" w:hanging="0"/>
              <w:jc w:val="left"/>
              <w:rPr/>
            </w:pPr>
            <w:r>
              <w:rPr/>
              <w:t>​</w:t>
            </w:r>
          </w:p>
        </w:tc>
      </w:tr>
      <w:tr>
        <w:trPr/>
        <w:tc>
          <w:tcPr>
            <w:tcW w:w="20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128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$256.0 – $260.0</w:t>
            </w:r>
          </w:p>
        </w:tc>
        <w:tc>
          <w:tcPr>
            <w:tcW w:w="34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8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244.5</w:t>
            </w:r>
          </w:p>
        </w:tc>
        <w:tc>
          <w:tcPr>
            <w:tcW w:w="346" w:type="dxa"/>
            <w:tcBorders/>
            <w:shd w:fill="CCEEFF" w:val="clear"/>
            <w:vAlign w:val="center"/>
          </w:tcPr>
          <w:p>
            <w:pPr>
              <w:pStyle w:val="TableContents"/>
              <w:bidi w:val="0"/>
              <w:spacing w:before="0" w:after="0"/>
              <w:ind w:left="0" w:right="0" w:hanging="0"/>
              <w:jc w:val="left"/>
              <w:rPr/>
            </w:pPr>
            <w:r>
              <w:rPr/>
              <w:t> </w:t>
            </w:r>
          </w:p>
        </w:tc>
        <w:tc>
          <w:tcPr>
            <w:tcW w:w="26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0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Adjusted EBITDA</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128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$21.0 – $23.0</w:t>
            </w:r>
          </w:p>
        </w:tc>
        <w:tc>
          <w:tcPr>
            <w:tcW w:w="34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8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22.0</w:t>
            </w:r>
          </w:p>
        </w:tc>
        <w:tc>
          <w:tcPr>
            <w:tcW w:w="3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w:t>
            </w:r>
          </w:p>
        </w:tc>
        <w:tc>
          <w:tcPr>
            <w:tcW w:w="845"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20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Adjusted EBITDA margin</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 </w:t>
            </w:r>
          </w:p>
        </w:tc>
        <w:tc>
          <w:tcPr>
            <w:tcW w:w="128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 - 8.8%</w:t>
            </w:r>
          </w:p>
        </w:tc>
        <w:tc>
          <w:tcPr>
            <w:tcW w:w="34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left"/>
              <w:rPr/>
            </w:pPr>
            <w:r>
              <w:rPr/>
              <w:t> </w:t>
            </w:r>
          </w:p>
        </w:tc>
        <w:tc>
          <w:tcPr>
            <w:tcW w:w="108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26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pPr>
            <w:r>
              <w:rPr/>
              <w:t>  ​</w:t>
            </w:r>
          </w:p>
        </w:tc>
        <w:tc>
          <w:tcPr>
            <w:tcW w:w="316"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16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outlook includes 3.5% to 5.0% organic revenue growth and approximately $2 million recurring public company costs, driven by increased legal, audit, and investor relation fees we expect to incur in 2026.  The outlook assumes continued patient demand across general and specialty services, stable reimbursement trends across commercial and government payors, ongoing recruitment and retention initiatives, and contributions from recently acquired and affiliated practices and de novos. We continue to monitor patient demand, industry and professional staffing trends that could impact our outlook.</w:t>
      </w:r>
    </w:p>
    <w:p>
      <w:pPr>
        <w:pStyle w:val="TextBody"/>
        <w:bidi w:val="0"/>
        <w:spacing w:before="100" w:after="100"/>
        <w:ind w:left="0" w:right="0" w:hanging="0"/>
        <w:jc w:val="left"/>
        <w:rPr>
          <w:shd w:fill="C6C6C6" w:val="clear"/>
        </w:rPr>
      </w:pPr>
      <w:r>
        <w:rPr>
          <w:shd w:fill="C6C6C6" w:val="clear"/>
        </w:rPr>
        <w:t>​</w:t>
      </w:r>
    </w:p>
    <w:p>
      <w:pPr>
        <w:pStyle w:val="TextBody"/>
        <w:bidi w:val="0"/>
        <w:spacing w:before="0" w:after="0"/>
        <w:ind w:left="0" w:right="0" w:hanging="0"/>
        <w:jc w:val="left"/>
        <w:rPr>
          <w:shd w:fill="C6C6C6" w:val="clear"/>
        </w:rPr>
      </w:pPr>
      <w:r>
        <w:rPr>
          <w:shd w:fill="C6C6C6"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Conference Call</w:t>
      </w:r>
    </w:p>
    <w:p>
      <w:pPr>
        <w:pStyle w:val="TextBody"/>
        <w:bidi w:val="0"/>
        <w:spacing w:before="100" w:after="10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announced on July 20, 2026, the Company will host a conference call to discuss these results tomorrow morning, Thursday, August 13, 2026, at 8:30 a.m. Eastern Time (7:30 a.m. Central Time).</w:t>
      </w:r>
    </w:p>
    <w:p>
      <w:pPr>
        <w:pStyle w:val="TextBody"/>
        <w:bidi w:val="0"/>
        <w:spacing w:before="100" w:after="10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live webcast of the call will be accessible by registering using the link below or through the Investor Relations section of the Company’s website at </w:t>
      </w:r>
      <w:r>
        <w:rPr>
          <w:rFonts w:ascii="Times New Roman;Times;serif" w:hAnsi="Times New Roman;Times;serif"/>
          <w:color w:val="467886"/>
          <w:sz w:val="20"/>
          <w:u w:val="single"/>
        </w:rPr>
        <w:t>https://investors.parkdentalpartners.com</w:t>
      </w:r>
      <w:r>
        <w:rPr>
          <w:rFonts w:ascii="Times New Roman;Times;serif" w:hAnsi="Times New Roman;Times;serif"/>
          <w:sz w:val="20"/>
        </w:rPr>
        <w:t>. A replay of the webcast will be available on the website for a limited time following the call. A replay of the webcast will be available on the website for a limited time following the call.</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About Park Dental Partners, Inc.</w:t>
      </w:r>
    </w:p>
    <w:p>
      <w:pPr>
        <w:pStyle w:val="TextBody"/>
        <w:bidi w:val="0"/>
        <w:spacing w:before="100" w:after="10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Park Dental Partners, Inc., and its subsidiaries (NASDAQ:PARK) is a dental resource organization that has put patients first since the establishment of its general dentistry group in 1972. The Company provides comprehensive business support services, including clinical team members, administrative personnel, facilities, and equipment, to its affiliated general and multi-specialty dental practices. The Company has 219 affiliated doctors across 87 practice locations in three states. The Company’s clinical support team consists of over 1,000 hygienists, dental assistants, and patient care coordinators that support affiliated doctors in operating their practices. The mission of our affiliated dental practices since inception has been to ensure patients enjoy the benefits of a lifetime of good oral health. This mission continues to be the driving force behind our organization today.</w:t>
      </w:r>
    </w:p>
    <w:p>
      <w:pPr>
        <w:pStyle w:val="TextBody"/>
        <w:bidi w:val="0"/>
        <w:spacing w:before="100" w:after="10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Park Dental Partners is based in Roseville, Minnesota. For more information, please visit parkdentalpartners.com.</w:t>
      </w:r>
    </w:p>
    <w:p>
      <w:pPr>
        <w:pStyle w:val="TextBody"/>
        <w:bidi w:val="0"/>
        <w:spacing w:before="100" w:after="10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Basis of Consolidation</w:t>
      </w:r>
    </w:p>
    <w:p>
      <w:pPr>
        <w:pStyle w:val="TextBody"/>
        <w:bidi w:val="0"/>
        <w:spacing w:before="100" w:after="10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accordance with generally accepted accounting principles in the United States, we consolidate the net assets and results of operations of the affiliated dental practices operating under long-term administrative resource agreements with us. As a result, references to our revenues, our expenses and similar items relating to our results of operations and net assets includes the revenues, expenses and similar items of our affiliated dental practices and all transactions between the affiliated dental practices and us, such as the service fees we charge, are eliminated in consolidation.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Forward Looking Statements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Certain statements in this press release are “forward-looking statements” within the meaning of Section 27A of the Securities Act of 1933, as amended, and Section 21E of the Securities Exchange Act of 1934, as amended, with respect to the Company’s financial condition, results of operations, plans, objectives, future performance and business. Forward-looking statements include those preceded by, followed by or that include the words “believes,” “expects,” “anticipates,” “intends,” “estimates,” “plans,” “may,” “will,” or similar expressions. These forward-looking statements involve risks and uncertainties. Actual results may differ materially from those contemplated by such forward-looking statements because of, among other things, potential risks and uncertainties, such as:</w:t>
      </w:r>
    </w:p>
    <w:p>
      <w:pPr>
        <w:pStyle w:val="TextBody"/>
        <w:bidi w:val="0"/>
        <w:spacing w:before="100" w:after="10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and compliance risk, including state dental corporate practice of dentistry and fee-splitting restrictions, HIPAA and other privacy/cybersecurity obligations, and evolving healthcare and labor regulations;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Reimbursement risk, including risks related to payer mix, reimbursement rates, audit/recoupment activity, enrollment and collections timing, and dependence on significant third-party payors;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identify, acquire, integrate and effectively support affiliated practices and to execute de novo expansion, and the risk of undiscovered liabilities in acquisitions;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Dependence on affiliated dental practices and their clinical performance; our ability to attract, hire and retain dentists, specialists and hygienists; and risks related to ownership transitions of affiliated entities;</w:t>
            </w:r>
          </w:p>
        </w:tc>
      </w:tr>
    </w:tbl>
    <w:tbl>
      <w:tblPr>
        <w:tblW w:w="8508" w:type="dxa"/>
        <w:jc w:val="left"/>
        <w:tblInd w:w="0" w:type="dxa"/>
        <w:tblLayout w:type="fixed"/>
        <w:tblCellMar>
          <w:top w:w="0" w:type="dxa"/>
          <w:left w:w="0" w:type="dxa"/>
          <w:bottom w:w="0" w:type="dxa"/>
          <w:right w:w="0" w:type="dxa"/>
        </w:tblCellMar>
      </w:tblPr>
      <w:tblGrid>
        <w:gridCol w:w="23"/>
        <w:gridCol w:w="170"/>
        <w:gridCol w:w="83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3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for patients and clinicians in our markets and the impact on patient volumes and staffing;</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Macroeconomic conditions, inflation and interest rates, and our geographic concentration, particularly in the markets in which we operate.</w:t>
            </w:r>
          </w:p>
        </w:tc>
      </w:tr>
    </w:tbl>
    <w:p>
      <w:pPr>
        <w:pStyle w:val="TextBody"/>
        <w:bidi w:val="0"/>
        <w:spacing w:before="100" w:after="10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forward-looking statement is neither a prediction nor a guarantee of future events or circumstances, and those future events or circumstances may not occur. We are under no obligation, and we expressly disclaim any obligation, to update or alter any forward-looking statements, whether because of new information, future events or otherwise.</w:t>
      </w:r>
    </w:p>
    <w:p>
      <w:pPr>
        <w:pStyle w:val="TextBody"/>
        <w:bidi w:val="0"/>
        <w:spacing w:before="0" w:after="0"/>
        <w:ind w:left="0" w:right="0" w:hanging="0"/>
        <w:jc w:val="left"/>
        <w:rPr>
          <w:shd w:fill="C6C6C6" w:val="clear"/>
        </w:rPr>
      </w:pPr>
      <w:r>
        <w:rPr>
          <w:shd w:fill="C6C6C6" w:val="clear"/>
        </w:rPr>
        <w:t>​</w:t>
      </w:r>
    </w:p>
    <w:p>
      <w:pPr>
        <w:pStyle w:val="TextBody"/>
        <w:bidi w:val="0"/>
        <w:spacing w:before="0" w:after="0"/>
        <w:ind w:left="0" w:right="0" w:hanging="0"/>
        <w:jc w:val="left"/>
        <w:rPr>
          <w:shd w:fill="C6C6C6" w:val="clear"/>
        </w:rPr>
      </w:pPr>
      <w:r>
        <w:rPr>
          <w:shd w:fill="C6C6C6"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Non-GAAP Financial Measures</w:t>
      </w:r>
    </w:p>
    <w:p>
      <w:pPr>
        <w:pStyle w:val="TextBody"/>
        <w:bidi w:val="0"/>
        <w:spacing w:before="100" w:after="10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This news release and the related conference call include presentation of Non-GAAP measures that include or exclude special items of a nonrecurring and/or nonoperational nature. Management believes that the Non-GAAP measures provide useful information to investors regarding the Company’s results of operations and financial condition because they permit a more meaningful comparison and understanding of Park Dental Partners, Inc’s operating performance for the current, past or future periods. Management uses these Non-GAAP measures to monitor and evaluate ongoing operating results and trends and to gain an understanding of the comparative operating performance of the Company.</w:t>
      </w:r>
    </w:p>
    <w:p>
      <w:pPr>
        <w:pStyle w:val="TextBody"/>
        <w:bidi w:val="0"/>
        <w:spacing w:before="100" w:after="10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Please note that the Company has not provided the most directly comparable GAAP financial measure, or a quantitative reconciliation thereto, for the Adjusted EBITDA forward-looking guidance for 2026 included in this press release in reliance on the unreasonable efforts exception provided under Item 10(e)(1)(i)(B) of Regulation S-K. Providing the most directly comparable GAAP financial measure, or a quantitative reconciliation thereto, cannot be done without unreasonable effort due to the inherent uncertainty and difficulty in predicting certain non-cash, material and/or non-recurring expenses or benefits; legal settlements or other matters; and certain tax positions. The variability of these items could have an unpredictable, and potentially significant, impact on our future GAAP financial results.</w:t>
      </w:r>
    </w:p>
    <w:p>
      <w:pPr>
        <w:pStyle w:val="TextBody"/>
        <w:bidi w:val="0"/>
        <w:spacing w:before="100" w:after="10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See Supplemental non-GAAP financial tables below for a reconciliation of adjusted non-GAAP financial measures to GAAP. </w:t>
      </w:r>
      <w:r>
        <w:rPr>
          <w:rFonts w:ascii="Aptos" w:hAnsi="Aptos"/>
          <w:sz w:val="24"/>
        </w:rPr>
        <w:br/>
      </w:r>
      <w:r>
        <w:rPr>
          <w:rFonts w:ascii="Times New Roman;Times;serif" w:hAnsi="Times New Roman;Times;serif"/>
          <w:sz w:val="20"/>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Company Contact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Investor Contact: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Park Dental Partners Investor Relations Team</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763-233-3377</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ir@parkdentalpartners.com</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Media Contact: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Park Dental Partners Media Relations Team</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651-633-0500</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marketing@parkdentalpartners.com</w:t>
      </w:r>
    </w:p>
    <w:p>
      <w:pPr>
        <w:pStyle w:val="TextBody"/>
        <w:bidi w:val="0"/>
        <w:spacing w:before="0" w:after="16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Supplemental Financial Tables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PARK DENTAL PARTNERS, INC. AND SUBSIDIARIES</w:t>
        <w:br/>
        <w:t>CONDENSED CONSOLIDATED STATEMENTS OF OPERATIONS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4136"/>
        <w:gridCol w:w="346"/>
        <w:gridCol w:w="211"/>
        <w:gridCol w:w="931"/>
        <w:gridCol w:w="346"/>
        <w:gridCol w:w="211"/>
        <w:gridCol w:w="931"/>
        <w:gridCol w:w="346"/>
        <w:gridCol w:w="211"/>
        <w:gridCol w:w="931"/>
        <w:gridCol w:w="346"/>
        <w:gridCol w:w="211"/>
        <w:gridCol w:w="1048"/>
      </w:tblGrid>
      <w:tr>
        <w:trPr/>
        <w:tc>
          <w:tcPr>
            <w:tcW w:w="41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626360" cy="175260"/>
                      <wp:effectExtent l="0" t="0" r="0" b="0"/>
                      <wp:wrapNone/>
                      <wp:docPr id="44" name="Frame44"/>
                      <a:graphic xmlns:a="http://schemas.openxmlformats.org/drawingml/2006/main">
                        <a:graphicData uri="http://schemas.microsoft.com/office/word/2010/wordprocessingShape">
                          <wps:wsp>
                            <wps:cNvSpPr txBox="1"/>
                            <wps:spPr>
                              <a:xfrm>
                                <a:off x="0" y="0"/>
                                <a:ext cx="2626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19710" cy="175260"/>
                      <wp:effectExtent l="0" t="0" r="0" b="0"/>
                      <wp:wrapNone/>
                      <wp:docPr id="45" name="Frame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33985" cy="175260"/>
                      <wp:effectExtent l="0" t="0" r="0" b="0"/>
                      <wp:wrapNone/>
                      <wp:docPr id="46" name="Frame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591185" cy="175260"/>
                      <wp:effectExtent l="0" t="0" r="0" b="0"/>
                      <wp:wrapNone/>
                      <wp:docPr id="47" name="Frame4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19710" cy="175260"/>
                      <wp:effectExtent l="0" t="0" r="0" b="0"/>
                      <wp:wrapNone/>
                      <wp:docPr id="48" name="Frame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33985" cy="175260"/>
                      <wp:effectExtent l="0" t="0" r="0" b="0"/>
                      <wp:wrapNone/>
                      <wp:docPr id="49" name="Frame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591185" cy="175260"/>
                      <wp:effectExtent l="0" t="0" r="0" b="0"/>
                      <wp:wrapNone/>
                      <wp:docPr id="50" name="Frame5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19710" cy="175260"/>
                      <wp:effectExtent l="0" t="0" r="0" b="0"/>
                      <wp:wrapNone/>
                      <wp:docPr id="51" name="Frame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33985" cy="175260"/>
                      <wp:effectExtent l="0" t="0" r="0" b="0"/>
                      <wp:wrapNone/>
                      <wp:docPr id="52" name="Frame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591185" cy="175260"/>
                      <wp:effectExtent l="0" t="0" r="0" b="0"/>
                      <wp:wrapNone/>
                      <wp:docPr id="53" name="Frame5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19710" cy="175260"/>
                      <wp:effectExtent l="0" t="0" r="0" b="0"/>
                      <wp:wrapNone/>
                      <wp:docPr id="54" name="Frame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33985" cy="175260"/>
                      <wp:effectExtent l="0" t="0" r="0" b="0"/>
                      <wp:wrapNone/>
                      <wp:docPr id="55" name="Frame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65480" cy="175260"/>
                      <wp:effectExtent l="0" t="0" r="0" b="0"/>
                      <wp:wrapNone/>
                      <wp:docPr id="56" name="Frame56"/>
                      <a:graphic xmlns:a="http://schemas.openxmlformats.org/drawingml/2006/main">
                        <a:graphicData uri="http://schemas.microsoft.com/office/word/2010/wordprocessingShape">
                          <wps:wsp>
                            <wps:cNvSpPr txBox="1"/>
                            <wps:spPr>
                              <a:xfrm>
                                <a:off x="0" y="0"/>
                                <a:ext cx="665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63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center"/>
              <w:rPr/>
            </w:pPr>
            <w:r>
              <w:rPr/>
              <w:t>  ​ ​ ​</w:t>
            </w:r>
          </w:p>
        </w:tc>
        <w:tc>
          <w:tcPr>
            <w:tcW w:w="2747"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41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6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274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1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2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1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66,212</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62,998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128,907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122,035</w:t>
            </w:r>
          </w:p>
        </w:tc>
      </w:tr>
      <w:tr>
        <w:trPr/>
        <w:tc>
          <w:tcPr>
            <w:tcW w:w="41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SERVICES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8" w:type="dxa"/>
            <w:tcBorders/>
            <w:vAlign w:val="center"/>
          </w:tcPr>
          <w:p>
            <w:pPr>
              <w:pStyle w:val="TableContents"/>
              <w:bidi w:val="0"/>
              <w:spacing w:before="0" w:after="0"/>
              <w:ind w:left="0" w:right="0" w:hanging="0"/>
              <w:jc w:val="right"/>
              <w:rPr/>
            </w:pPr>
            <w:r>
              <w:rPr/>
              <w:t>​</w:t>
            </w:r>
          </w:p>
        </w:tc>
      </w:tr>
      <w:tr>
        <w:trPr/>
        <w:tc>
          <w:tcPr>
            <w:tcW w:w="41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Salaries and benefits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42,114</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84,009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72,733</w:t>
            </w:r>
          </w:p>
        </w:tc>
      </w:tr>
      <w:tr>
        <w:trPr/>
        <w:tc>
          <w:tcPr>
            <w:tcW w:w="41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Dental supplies and Laboratory fees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4,444</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8,782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8,576</w:t>
            </w:r>
          </w:p>
        </w:tc>
      </w:tr>
      <w:tr>
        <w:trPr/>
        <w:tc>
          <w:tcPr>
            <w:tcW w:w="41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Office occupancy</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4,375</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8,090</w:t>
            </w:r>
          </w:p>
        </w:tc>
      </w:tr>
      <w:tr>
        <w:trPr/>
        <w:tc>
          <w:tcPr>
            <w:tcW w:w="41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practice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7,670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7,015</w:t>
            </w:r>
          </w:p>
        </w:tc>
      </w:tr>
      <w:tr>
        <w:trPr/>
        <w:tc>
          <w:tcPr>
            <w:tcW w:w="41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1,928</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3,859</w:t>
            </w:r>
          </w:p>
        </w:tc>
      </w:tr>
      <w:tr>
        <w:trPr/>
        <w:tc>
          <w:tcPr>
            <w:tcW w:w="41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 OF SERVICES</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56,698</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51,092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113,013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100,273</w:t>
            </w:r>
          </w:p>
        </w:tc>
      </w:tr>
      <w:tr>
        <w:trPr/>
        <w:tc>
          <w:tcPr>
            <w:tcW w:w="41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9,514</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21,762</w:t>
            </w:r>
          </w:p>
        </w:tc>
      </w:tr>
      <w:tr>
        <w:trPr/>
        <w:tc>
          <w:tcPr>
            <w:tcW w:w="41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7,836</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7,380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15,676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14,308</w:t>
            </w:r>
          </w:p>
        </w:tc>
      </w:tr>
      <w:tr>
        <w:trPr/>
        <w:tc>
          <w:tcPr>
            <w:tcW w:w="41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752</w:t>
            </w:r>
          </w:p>
        </w:tc>
      </w:tr>
      <w:tr>
        <w:trPr/>
        <w:tc>
          <w:tcPr>
            <w:tcW w:w="41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 (LOSS)</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1,256</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6,702</w:t>
            </w:r>
          </w:p>
        </w:tc>
      </w:tr>
      <w:tr>
        <w:trPr/>
        <w:tc>
          <w:tcPr>
            <w:tcW w:w="41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 NET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(671)</w:t>
            </w:r>
          </w:p>
        </w:tc>
      </w:tr>
      <w:tr>
        <w:trPr/>
        <w:tc>
          <w:tcPr>
            <w:tcW w:w="41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BEFORE TAX</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1,119</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6,031</w:t>
            </w:r>
          </w:p>
        </w:tc>
      </w:tr>
      <w:tr>
        <w:trPr/>
        <w:tc>
          <w:tcPr>
            <w:tcW w:w="41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PROVISION/(BENEFIT) FOR INCOME TAX</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1,894</w:t>
            </w:r>
          </w:p>
        </w:tc>
      </w:tr>
      <w:tr>
        <w:trPr/>
        <w:tc>
          <w:tcPr>
            <w:tcW w:w="41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1,349</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4,136</w:t>
            </w:r>
          </w:p>
        </w:tc>
      </w:tr>
      <w:tr>
        <w:trPr/>
        <w:tc>
          <w:tcPr>
            <w:tcW w:w="41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per share:</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8" w:type="dxa"/>
            <w:tcBorders/>
            <w:shd w:fill="CCEEFF" w:val="clear"/>
            <w:vAlign w:val="center"/>
          </w:tcPr>
          <w:p>
            <w:pPr>
              <w:pStyle w:val="TableContents"/>
              <w:bidi w:val="0"/>
              <w:spacing w:before="0" w:after="0"/>
              <w:ind w:left="0" w:right="0" w:hanging="0"/>
              <w:jc w:val="right"/>
              <w:rPr/>
            </w:pPr>
            <w:r>
              <w:rPr/>
              <w:t>​</w:t>
            </w:r>
          </w:p>
        </w:tc>
      </w:tr>
      <w:tr>
        <w:trPr/>
        <w:tc>
          <w:tcPr>
            <w:tcW w:w="41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0.30</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w:t>
            </w:r>
          </w:p>
        </w:tc>
      </w:tr>
      <w:tr>
        <w:trPr/>
        <w:tc>
          <w:tcPr>
            <w:tcW w:w="41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0.22</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w:t>
            </w:r>
          </w:p>
        </w:tc>
      </w:tr>
      <w:tr>
        <w:trPr/>
        <w:tc>
          <w:tcPr>
            <w:tcW w:w="41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weighted-average number of common shares outstanding</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4,571,346</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1,772,662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4,478,159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4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1,777,942</w:t>
            </w:r>
          </w:p>
        </w:tc>
      </w:tr>
      <w:tr>
        <w:trPr/>
        <w:tc>
          <w:tcPr>
            <w:tcW w:w="41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 weighted-average number of common shares outstanding</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6,235,305</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1,772,662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6,091,899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8"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1,777,942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PARK DENTAL PARTNERS, INC. AND SUBSIDIARIES</w:t>
        <w:br/>
        <w:t>CONDENSED CONSOLIDATED BALANCE SHEET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tbl>
      <w:tblPr>
        <w:tblW w:w="7533" w:type="dxa"/>
        <w:jc w:val="left"/>
        <w:tblInd w:w="0" w:type="dxa"/>
        <w:tblLayout w:type="fixed"/>
        <w:tblCellMar>
          <w:top w:w="0" w:type="dxa"/>
          <w:left w:w="0" w:type="dxa"/>
          <w:bottom w:w="0" w:type="dxa"/>
          <w:right w:w="0" w:type="dxa"/>
        </w:tblCellMar>
      </w:tblPr>
      <w:tblGrid>
        <w:gridCol w:w="4486"/>
        <w:gridCol w:w="346"/>
        <w:gridCol w:w="218"/>
        <w:gridCol w:w="772"/>
        <w:gridCol w:w="346"/>
        <w:gridCol w:w="269"/>
        <w:gridCol w:w="1096"/>
      </w:tblGrid>
      <w:tr>
        <w:trPr/>
        <w:tc>
          <w:tcPr>
            <w:tcW w:w="4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848610" cy="175260"/>
                      <wp:effectExtent l="0" t="0" r="0" b="0"/>
                      <wp:wrapNone/>
                      <wp:docPr id="57" name="Frame57"/>
                      <a:graphic xmlns:a="http://schemas.openxmlformats.org/drawingml/2006/main">
                        <a:graphicData uri="http://schemas.microsoft.com/office/word/2010/wordprocessingShape">
                          <wps:wsp>
                            <wps:cNvSpPr txBox="1"/>
                            <wps:spPr>
                              <a:xfrm>
                                <a:off x="0" y="0"/>
                                <a:ext cx="2848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19710" cy="175260"/>
                      <wp:effectExtent l="0" t="0" r="0" b="0"/>
                      <wp:wrapNone/>
                      <wp:docPr id="58" name="Frame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38430" cy="175260"/>
                      <wp:effectExtent l="0" t="0" r="0" b="0"/>
                      <wp:wrapNone/>
                      <wp:docPr id="59" name="Frame59"/>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490220" cy="175260"/>
                      <wp:effectExtent l="0" t="0" r="0" b="0"/>
                      <wp:wrapNone/>
                      <wp:docPr id="60" name="Frame60"/>
                      <a:graphic xmlns:a="http://schemas.openxmlformats.org/drawingml/2006/main">
                        <a:graphicData uri="http://schemas.microsoft.com/office/word/2010/wordprocessingShape">
                          <wps:wsp>
                            <wps:cNvSpPr txBox="1"/>
                            <wps:spPr>
                              <a:xfrm>
                                <a:off x="0" y="0"/>
                                <a:ext cx="490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19710" cy="175260"/>
                      <wp:effectExtent l="0" t="0" r="0" b="0"/>
                      <wp:wrapNone/>
                      <wp:docPr id="61" name="Frame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70815" cy="175260"/>
                      <wp:effectExtent l="0" t="0" r="0" b="0"/>
                      <wp:wrapNone/>
                      <wp:docPr id="62" name="Frame62"/>
                      <a:graphic xmlns:a="http://schemas.openxmlformats.org/drawingml/2006/main">
                        <a:graphicData uri="http://schemas.microsoft.com/office/word/2010/wordprocessingShape">
                          <wps:wsp>
                            <wps:cNvSpPr txBox="1"/>
                            <wps:spPr>
                              <a:xfrm>
                                <a:off x="0" y="0"/>
                                <a:ext cx="170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95960" cy="175260"/>
                      <wp:effectExtent l="0" t="0" r="0" b="0"/>
                      <wp:wrapNone/>
                      <wp:docPr id="63" name="Frame63"/>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At June 30, </w:t>
            </w:r>
          </w:p>
        </w:tc>
        <w:tc>
          <w:tcPr>
            <w:tcW w:w="346" w:type="dxa"/>
            <w:tcBorders/>
            <w:vAlign w:val="center"/>
          </w:tcPr>
          <w:p>
            <w:pPr>
              <w:pStyle w:val="TableContents"/>
              <w:bidi w:val="0"/>
              <w:spacing w:before="0" w:after="0"/>
              <w:ind w:left="0" w:right="0" w:hanging="0"/>
              <w:jc w:val="center"/>
              <w:rPr/>
            </w:pPr>
            <w:r>
              <w:rPr/>
              <w:t>  ​ ​ ​</w:t>
            </w:r>
          </w:p>
        </w:tc>
        <w:tc>
          <w:tcPr>
            <w:tcW w:w="136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At December 31,</w:t>
            </w:r>
          </w:p>
        </w:tc>
      </w:tr>
      <w:tr>
        <w:trPr/>
        <w:tc>
          <w:tcPr>
            <w:tcW w:w="44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w:t>
            </w:r>
          </w:p>
        </w:tc>
        <w:tc>
          <w:tcPr>
            <w:tcW w:w="13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ASSETS</w:t>
            </w:r>
          </w:p>
        </w:tc>
        <w:tc>
          <w:tcPr>
            <w:tcW w:w="346" w:type="dxa"/>
            <w:tcBorders/>
            <w:shd w:fill="CCEEFF" w:val="clear"/>
            <w:vAlign w:val="center"/>
          </w:tcPr>
          <w:p>
            <w:pPr>
              <w:pStyle w:val="TableContents"/>
              <w:bidi w:val="0"/>
              <w:spacing w:before="0" w:after="0"/>
              <w:ind w:left="0" w:right="0" w:hanging="0"/>
              <w:jc w:val="left"/>
              <w:rPr/>
            </w:pPr>
            <w:r>
              <w:rPr/>
              <w:t> </w:t>
            </w:r>
          </w:p>
        </w:tc>
        <w:tc>
          <w:tcPr>
            <w:tcW w:w="218" w:type="dxa"/>
            <w:tcBorders/>
            <w:shd w:fill="CCEEFF" w:val="clear"/>
            <w:vAlign w:val="center"/>
          </w:tcPr>
          <w:p>
            <w:pPr>
              <w:pStyle w:val="TableContents"/>
              <w:bidi w:val="0"/>
              <w:spacing w:before="0" w:after="0"/>
              <w:ind w:left="0" w:right="0" w:hanging="0"/>
              <w:jc w:val="left"/>
              <w:rPr/>
            </w:pPr>
            <w:r>
              <w:rPr/>
              <w:t>​</w:t>
            </w:r>
          </w:p>
        </w:tc>
        <w:tc>
          <w:tcPr>
            <w:tcW w:w="772"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69"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pPr>
            <w:r>
              <w:rPr/>
              <w:t>  ​</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3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7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24,398</w:t>
            </w:r>
          </w:p>
        </w:tc>
        <w:tc>
          <w:tcPr>
            <w:tcW w:w="346" w:type="dxa"/>
            <w:tcBorders/>
            <w:vAlign w:val="center"/>
          </w:tcPr>
          <w:p>
            <w:pPr>
              <w:pStyle w:val="TableContents"/>
              <w:bidi w:val="0"/>
              <w:spacing w:before="0" w:after="0"/>
              <w:ind w:left="0" w:right="0" w:hanging="0"/>
              <w:jc w:val="left"/>
              <w:rPr/>
            </w:pPr>
            <w:r>
              <w:rPr/>
              <w:t> </w:t>
            </w:r>
          </w:p>
        </w:tc>
        <w:tc>
          <w:tcPr>
            <w:tcW w:w="26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25,185</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receivable – net of allowance</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77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7,923</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6,991</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current assets</w:t>
            </w:r>
          </w:p>
        </w:tc>
        <w:tc>
          <w:tcPr>
            <w:tcW w:w="346"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7,328</w:t>
            </w:r>
          </w:p>
        </w:tc>
        <w:tc>
          <w:tcPr>
            <w:tcW w:w="346" w:type="dxa"/>
            <w:tcBorders/>
            <w:vAlign w:val="center"/>
          </w:tcPr>
          <w:p>
            <w:pPr>
              <w:pStyle w:val="TableContents"/>
              <w:bidi w:val="0"/>
              <w:spacing w:before="0" w:after="0"/>
              <w:ind w:left="0" w:right="0" w:hanging="0"/>
              <w:jc w:val="left"/>
              <w:rPr/>
            </w:pPr>
            <w:r>
              <w:rPr/>
              <w:t>​</w:t>
            </w:r>
          </w:p>
        </w:tc>
        <w:tc>
          <w:tcPr>
            <w:tcW w:w="26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5,726</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77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39,649</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37,902</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ASSETS:</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 </w:t>
            </w:r>
          </w:p>
        </w:tc>
        <w:tc>
          <w:tcPr>
            <w:tcW w:w="77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pPr>
            <w:r>
              <w:rPr/>
              <w:t>​</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Property and equipment and lease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77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75,286</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73,828</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Goodwill and Intangible assets, nets</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77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30,591</w:t>
            </w:r>
          </w:p>
        </w:tc>
        <w:tc>
          <w:tcPr>
            <w:tcW w:w="346"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28,360</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40,741</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38,093</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other assets</w:t>
            </w:r>
          </w:p>
        </w:tc>
        <w:tc>
          <w:tcPr>
            <w:tcW w:w="346"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146,618</w:t>
            </w:r>
          </w:p>
        </w:tc>
        <w:tc>
          <w:tcPr>
            <w:tcW w:w="346" w:type="dxa"/>
            <w:tcBorders/>
            <w:vAlign w:val="center"/>
          </w:tcPr>
          <w:p>
            <w:pPr>
              <w:pStyle w:val="TableContents"/>
              <w:bidi w:val="0"/>
              <w:spacing w:before="0" w:after="0"/>
              <w:ind w:left="0" w:right="0" w:hanging="0"/>
              <w:jc w:val="left"/>
              <w:rPr/>
            </w:pPr>
            <w:r>
              <w:rPr/>
              <w:t>​</w:t>
            </w:r>
          </w:p>
        </w:tc>
        <w:tc>
          <w:tcPr>
            <w:tcW w:w="26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140,281</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7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186,267</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178,183</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LIABILITIES AND DEFICIT</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 </w:t>
            </w:r>
          </w:p>
        </w:tc>
        <w:tc>
          <w:tcPr>
            <w:tcW w:w="77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pPr>
            <w:r>
              <w:rPr/>
              <w:t>​</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 and other accrued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7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5,041</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6,291</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Payroll, benefits and short term deferred compensation</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 </w:t>
            </w:r>
          </w:p>
        </w:tc>
        <w:tc>
          <w:tcPr>
            <w:tcW w:w="77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16,693</w:t>
            </w:r>
          </w:p>
        </w:tc>
        <w:tc>
          <w:tcPr>
            <w:tcW w:w="346"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16,716</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portion of debt and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77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8,843</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8,606</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Revenue and other current liabilities</w:t>
            </w:r>
          </w:p>
        </w:tc>
        <w:tc>
          <w:tcPr>
            <w:tcW w:w="346"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4,724</w:t>
            </w:r>
          </w:p>
        </w:tc>
        <w:tc>
          <w:tcPr>
            <w:tcW w:w="346" w:type="dxa"/>
            <w:tcBorders/>
            <w:vAlign w:val="center"/>
          </w:tcPr>
          <w:p>
            <w:pPr>
              <w:pStyle w:val="TableContents"/>
              <w:bidi w:val="0"/>
              <w:spacing w:before="0" w:after="0"/>
              <w:ind w:left="0" w:right="0" w:hanging="0"/>
              <w:jc w:val="left"/>
              <w:rPr/>
            </w:pPr>
            <w:r>
              <w:rPr/>
              <w:t>​</w:t>
            </w:r>
          </w:p>
        </w:tc>
        <w:tc>
          <w:tcPr>
            <w:tcW w:w="26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4,120</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77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35,301</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35,733</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LONG-TERM LIABILITIES:</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772"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pPr>
            <w:r>
              <w:rPr/>
              <w:t>  ​</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77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69,230</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68,417</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Long-term debt and lease liabilities</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77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51,256</w:t>
            </w:r>
          </w:p>
        </w:tc>
        <w:tc>
          <w:tcPr>
            <w:tcW w:w="346"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51,744</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long-term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659</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486</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long-term liabilities</w:t>
            </w:r>
          </w:p>
        </w:tc>
        <w:tc>
          <w:tcPr>
            <w:tcW w:w="346"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121,145</w:t>
            </w:r>
          </w:p>
        </w:tc>
        <w:tc>
          <w:tcPr>
            <w:tcW w:w="346" w:type="dxa"/>
            <w:tcBorders/>
            <w:vAlign w:val="center"/>
          </w:tcPr>
          <w:p>
            <w:pPr>
              <w:pStyle w:val="TableContents"/>
              <w:bidi w:val="0"/>
              <w:spacing w:before="0" w:after="0"/>
              <w:ind w:left="0" w:right="0" w:hanging="0"/>
              <w:jc w:val="left"/>
              <w:rPr/>
            </w:pPr>
            <w:r>
              <w:rPr/>
              <w:t>​</w:t>
            </w:r>
          </w:p>
        </w:tc>
        <w:tc>
          <w:tcPr>
            <w:tcW w:w="26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120,647</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156,446</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156,380</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shareholders’ equity</w:t>
            </w:r>
          </w:p>
        </w:tc>
        <w:tc>
          <w:tcPr>
            <w:tcW w:w="346"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29,821</w:t>
            </w:r>
          </w:p>
        </w:tc>
        <w:tc>
          <w:tcPr>
            <w:tcW w:w="346" w:type="dxa"/>
            <w:tcBorders/>
            <w:vAlign w:val="center"/>
          </w:tcPr>
          <w:p>
            <w:pPr>
              <w:pStyle w:val="TableContents"/>
              <w:bidi w:val="0"/>
              <w:spacing w:before="0" w:after="0"/>
              <w:ind w:left="0" w:right="0" w:hanging="0"/>
              <w:jc w:val="left"/>
              <w:rPr/>
            </w:pPr>
            <w:r>
              <w:rPr/>
              <w:t>​</w:t>
            </w:r>
          </w:p>
        </w:tc>
        <w:tc>
          <w:tcPr>
            <w:tcW w:w="26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21,803</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LIABILITIES AND SHAREHOLDERS’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7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186,267</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178,183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60"/>
        <w:ind w:left="0" w:right="0" w:hanging="0"/>
        <w:jc w:val="left"/>
        <w:rPr/>
      </w:pPr>
      <w:bookmarkStart w:id="26" w:name="RANGE!A5%3AD31"/>
      <w:bookmarkEnd w:id="26"/>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PARK DENTAL PARTNERS, INC. AND SUBSIDIARIES</w:t>
        <w:br/>
        <w:t>CONDENSED CONSOLIDATED STATEMENTS OF CASH FLOWS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7922" w:type="dxa"/>
        <w:jc w:val="left"/>
        <w:tblInd w:w="0" w:type="dxa"/>
        <w:tblLayout w:type="fixed"/>
        <w:tblCellMar>
          <w:top w:w="0" w:type="dxa"/>
          <w:left w:w="0" w:type="dxa"/>
          <w:bottom w:w="0" w:type="dxa"/>
          <w:right w:w="0" w:type="dxa"/>
        </w:tblCellMar>
      </w:tblPr>
      <w:tblGrid>
        <w:gridCol w:w="5731"/>
        <w:gridCol w:w="146"/>
        <w:gridCol w:w="196"/>
        <w:gridCol w:w="631"/>
        <w:gridCol w:w="346"/>
        <w:gridCol w:w="196"/>
        <w:gridCol w:w="676"/>
      </w:tblGrid>
      <w:tr>
        <w:trPr/>
        <w:tc>
          <w:tcPr>
            <w:tcW w:w="5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3639185" cy="175260"/>
                      <wp:effectExtent l="0" t="0" r="0" b="0"/>
                      <wp:wrapNone/>
                      <wp:docPr id="64" name="Frame64"/>
                      <a:graphic xmlns:a="http://schemas.openxmlformats.org/drawingml/2006/main">
                        <a:graphicData uri="http://schemas.microsoft.com/office/word/2010/wordprocessingShape">
                          <wps:wsp>
                            <wps:cNvSpPr txBox="1"/>
                            <wps:spPr>
                              <a:xfrm>
                                <a:off x="0" y="0"/>
                                <a:ext cx="3639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92710" cy="175260"/>
                      <wp:effectExtent l="0" t="0" r="0" b="0"/>
                      <wp:wrapNone/>
                      <wp:docPr id="65" name="Frame6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24460" cy="175260"/>
                      <wp:effectExtent l="0" t="0" r="0" b="0"/>
                      <wp:wrapNone/>
                      <wp:docPr id="66" name="Frame6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400685" cy="175260"/>
                      <wp:effectExtent l="0" t="0" r="0" b="0"/>
                      <wp:wrapNone/>
                      <wp:docPr id="67" name="Frame67"/>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19710" cy="175260"/>
                      <wp:effectExtent l="0" t="0" r="0" b="0"/>
                      <wp:wrapNone/>
                      <wp:docPr id="68" name="Frame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24460" cy="175260"/>
                      <wp:effectExtent l="0" t="0" r="0" b="0"/>
                      <wp:wrapNone/>
                      <wp:docPr id="69" name="Frame6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429260" cy="175260"/>
                      <wp:effectExtent l="0" t="0" r="0" b="0"/>
                      <wp:wrapNone/>
                      <wp:docPr id="70" name="Frame7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3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04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573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04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573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7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FLOWS FROM OPERATING ACTIVITIES: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r>
      <w:tr>
        <w:trPr/>
        <w:tc>
          <w:tcPr>
            <w:tcW w:w="57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4,136</w:t>
            </w:r>
          </w:p>
        </w:tc>
      </w:tr>
      <w:tr>
        <w:trPr/>
        <w:tc>
          <w:tcPr>
            <w:tcW w:w="57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Adjustments to reconcile net income to net cash flows from operating activities: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r>
      <w:tr>
        <w:trPr/>
        <w:tc>
          <w:tcPr>
            <w:tcW w:w="57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4,733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4,611</w:t>
            </w:r>
          </w:p>
        </w:tc>
      </w:tr>
      <w:tr>
        <w:trPr/>
        <w:tc>
          <w:tcPr>
            <w:tcW w:w="57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income taxes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r>
      <w:tr>
        <w:trPr/>
        <w:tc>
          <w:tcPr>
            <w:tcW w:w="57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 in cash surrender value of life insurance</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(1,274)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(786)</w:t>
            </w:r>
          </w:p>
        </w:tc>
      </w:tr>
      <w:tr>
        <w:trPr/>
        <w:tc>
          <w:tcPr>
            <w:tcW w:w="57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Noncash lease and loss on disposal of equipment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r>
      <w:tr>
        <w:trPr/>
        <w:tc>
          <w:tcPr>
            <w:tcW w:w="57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Share based compensation</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7,059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r>
      <w:tr>
        <w:trPr/>
        <w:tc>
          <w:tcPr>
            <w:tcW w:w="57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Changes in operating assets and liabilities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1,271</w:t>
            </w:r>
          </w:p>
        </w:tc>
      </w:tr>
      <w:tr>
        <w:trPr/>
        <w:tc>
          <w:tcPr>
            <w:tcW w:w="57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flows from operating activities</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9,716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9,233</w:t>
            </w:r>
          </w:p>
        </w:tc>
      </w:tr>
      <w:tr>
        <w:trPr/>
        <w:tc>
          <w:tcPr>
            <w:tcW w:w="57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FLOWS USED IN INVESTING ACTIVITIES: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r>
      <w:tr>
        <w:trPr/>
        <w:tc>
          <w:tcPr>
            <w:tcW w:w="57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Purchases of property and equipment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(4,752)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(4,020)</w:t>
            </w:r>
          </w:p>
        </w:tc>
      </w:tr>
      <w:tr>
        <w:trPr/>
        <w:tc>
          <w:tcPr>
            <w:tcW w:w="57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Life insurance premiums paid</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(978)</w:t>
            </w:r>
          </w:p>
        </w:tc>
      </w:tr>
      <w:tr>
        <w:trPr/>
        <w:tc>
          <w:tcPr>
            <w:tcW w:w="57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Payments for purchases of dental practices</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(2,438)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(803)</w:t>
            </w:r>
          </w:p>
        </w:tc>
      </w:tr>
      <w:tr>
        <w:trPr/>
        <w:tc>
          <w:tcPr>
            <w:tcW w:w="57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Issuance of notes to related parties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57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flows used in investing activities</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(8,197)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(5,801)</w:t>
            </w:r>
          </w:p>
        </w:tc>
      </w:tr>
      <w:tr>
        <w:trPr/>
        <w:tc>
          <w:tcPr>
            <w:tcW w:w="57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FLOWS USED IN FINANCING ACTIVITIES: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r>
      <w:tr>
        <w:trPr/>
        <w:tc>
          <w:tcPr>
            <w:tcW w:w="57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Dental practice purchase payments on deferred notes</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(333)</w:t>
            </w:r>
          </w:p>
        </w:tc>
      </w:tr>
      <w:tr>
        <w:trPr/>
        <w:tc>
          <w:tcPr>
            <w:tcW w:w="57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change in checks issued in excess of cash balances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(1,201)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(1,504)</w:t>
            </w:r>
          </w:p>
        </w:tc>
      </w:tr>
      <w:tr>
        <w:trPr/>
        <w:tc>
          <w:tcPr>
            <w:tcW w:w="57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payments on debt and capital leases</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(979)</w:t>
            </w:r>
          </w:p>
        </w:tc>
      </w:tr>
      <w:tr>
        <w:trPr/>
        <w:tc>
          <w:tcPr>
            <w:tcW w:w="57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paid for Share Repurchase</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(396)</w:t>
            </w:r>
          </w:p>
        </w:tc>
      </w:tr>
      <w:tr>
        <w:trPr/>
        <w:tc>
          <w:tcPr>
            <w:tcW w:w="57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flows used in financing activities</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(2,306)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(3,212)</w:t>
            </w:r>
          </w:p>
        </w:tc>
      </w:tr>
      <w:tr>
        <w:trPr/>
        <w:tc>
          <w:tcPr>
            <w:tcW w:w="57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CHANGE IN CASH AND CASH EQUIVALENTS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220</w:t>
            </w:r>
          </w:p>
        </w:tc>
      </w:tr>
      <w:tr>
        <w:trPr/>
        <w:tc>
          <w:tcPr>
            <w:tcW w:w="57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 – Beginning of period</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25,185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2,672</w:t>
            </w:r>
          </w:p>
        </w:tc>
      </w:tr>
      <w:tr>
        <w:trPr/>
        <w:tc>
          <w:tcPr>
            <w:tcW w:w="57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 - End of period</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24,398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2,892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PARK DENTAL PARTNERS, INC. AND SUBSIDIARIES</w:t>
        <w:br/>
        <w:t>RECONCILIATION OF GROSS MARGIN TO ADJUSTED GROSS MARGIN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tbl>
      <w:tblPr>
        <w:tblW w:w="10023" w:type="dxa"/>
        <w:jc w:val="left"/>
        <w:tblInd w:w="0" w:type="dxa"/>
        <w:tblLayout w:type="fixed"/>
        <w:tblCellMar>
          <w:top w:w="0" w:type="dxa"/>
          <w:left w:w="0" w:type="dxa"/>
          <w:bottom w:w="0" w:type="dxa"/>
          <w:right w:w="0" w:type="dxa"/>
        </w:tblCellMar>
      </w:tblPr>
      <w:tblGrid>
        <w:gridCol w:w="2626"/>
        <w:gridCol w:w="346"/>
        <w:gridCol w:w="196"/>
        <w:gridCol w:w="601"/>
        <w:gridCol w:w="109"/>
        <w:gridCol w:w="571"/>
        <w:gridCol w:w="346"/>
        <w:gridCol w:w="196"/>
        <w:gridCol w:w="601"/>
        <w:gridCol w:w="109"/>
        <w:gridCol w:w="571"/>
        <w:gridCol w:w="346"/>
        <w:gridCol w:w="196"/>
        <w:gridCol w:w="601"/>
        <w:gridCol w:w="109"/>
        <w:gridCol w:w="571"/>
        <w:gridCol w:w="346"/>
        <w:gridCol w:w="196"/>
        <w:gridCol w:w="601"/>
        <w:gridCol w:w="109"/>
        <w:gridCol w:w="676"/>
      </w:tblGrid>
      <w:tr>
        <w:trPr/>
        <w:tc>
          <w:tcPr>
            <w:tcW w:w="2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667510" cy="175260"/>
                      <wp:effectExtent l="0" t="0" r="0" b="0"/>
                      <wp:wrapNone/>
                      <wp:docPr id="71" name="Frame71"/>
                      <a:graphic xmlns:a="http://schemas.openxmlformats.org/drawingml/2006/main">
                        <a:graphicData uri="http://schemas.microsoft.com/office/word/2010/wordprocessingShape">
                          <wps:wsp>
                            <wps:cNvSpPr txBox="1"/>
                            <wps:spPr>
                              <a:xfrm>
                                <a:off x="0" y="0"/>
                                <a:ext cx="1667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19710" cy="175260"/>
                      <wp:effectExtent l="0" t="0" r="0" b="0"/>
                      <wp:wrapNone/>
                      <wp:docPr id="72" name="Frame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24460" cy="175260"/>
                      <wp:effectExtent l="0" t="0" r="0" b="0"/>
                      <wp:wrapNone/>
                      <wp:docPr id="73" name="Frame7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381635" cy="175260"/>
                      <wp:effectExtent l="0" t="0" r="0" b="0"/>
                      <wp:wrapNone/>
                      <wp:docPr id="74" name="Frame74"/>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9215" cy="175260"/>
                      <wp:effectExtent l="0" t="0" r="0" b="0"/>
                      <wp:wrapNone/>
                      <wp:docPr id="75" name="Frame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362585" cy="175260"/>
                      <wp:effectExtent l="0" t="0" r="0" b="0"/>
                      <wp:wrapNone/>
                      <wp:docPr id="76" name="Frame7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19710" cy="175260"/>
                      <wp:effectExtent l="0" t="0" r="0" b="0"/>
                      <wp:wrapNone/>
                      <wp:docPr id="77" name="Frame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24460" cy="175260"/>
                      <wp:effectExtent l="0" t="0" r="0" b="0"/>
                      <wp:wrapNone/>
                      <wp:docPr id="78" name="Frame7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381635" cy="175260"/>
                      <wp:effectExtent l="0" t="0" r="0" b="0"/>
                      <wp:wrapNone/>
                      <wp:docPr id="79" name="Frame79"/>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9215" cy="175260"/>
                      <wp:effectExtent l="0" t="0" r="0" b="0"/>
                      <wp:wrapNone/>
                      <wp:docPr id="80" name="Frame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362585" cy="175260"/>
                      <wp:effectExtent l="0" t="0" r="0" b="0"/>
                      <wp:wrapNone/>
                      <wp:docPr id="81" name="Frame8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19710" cy="175260"/>
                      <wp:effectExtent l="0" t="0" r="0" b="0"/>
                      <wp:wrapNone/>
                      <wp:docPr id="82" name="Frame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24460" cy="175260"/>
                      <wp:effectExtent l="0" t="0" r="0" b="0"/>
                      <wp:wrapNone/>
                      <wp:docPr id="83" name="Frame8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381635" cy="175260"/>
                      <wp:effectExtent l="0" t="0" r="0" b="0"/>
                      <wp:wrapNone/>
                      <wp:docPr id="84" name="Frame84"/>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9215" cy="175260"/>
                      <wp:effectExtent l="0" t="0" r="0" b="0"/>
                      <wp:wrapNone/>
                      <wp:docPr id="85" name="Frame8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362585" cy="175260"/>
                      <wp:effectExtent l="0" t="0" r="0" b="0"/>
                      <wp:wrapNone/>
                      <wp:docPr id="86" name="Frame8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19710" cy="175260"/>
                      <wp:effectExtent l="0" t="0" r="0" b="0"/>
                      <wp:wrapNone/>
                      <wp:docPr id="87" name="Frame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24460" cy="175260"/>
                      <wp:effectExtent l="0" t="0" r="0" b="0"/>
                      <wp:wrapNone/>
                      <wp:docPr id="88" name="Frame8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381635" cy="175260"/>
                      <wp:effectExtent l="0" t="0" r="0" b="0"/>
                      <wp:wrapNone/>
                      <wp:docPr id="89" name="Frame89"/>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9215" cy="175260"/>
                      <wp:effectExtent l="0" t="0" r="0" b="0"/>
                      <wp:wrapNone/>
                      <wp:docPr id="90" name="Frame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429260" cy="175260"/>
                      <wp:effectExtent l="0" t="0" r="0" b="0"/>
                      <wp:wrapNone/>
                      <wp:docPr id="91" name="Frame9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00" w:type="dxa"/>
            <w:gridSpan w:val="9"/>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46" w:type="dxa"/>
            <w:tcBorders/>
            <w:vAlign w:val="center"/>
          </w:tcPr>
          <w:p>
            <w:pPr>
              <w:pStyle w:val="TableContents"/>
              <w:bidi w:val="0"/>
              <w:spacing w:before="0" w:after="0"/>
              <w:ind w:left="0" w:right="0" w:hanging="0"/>
              <w:jc w:val="left"/>
              <w:rPr/>
            </w:pPr>
            <w:r>
              <w:rPr/>
              <w:t>​</w:t>
            </w:r>
          </w:p>
        </w:tc>
        <w:tc>
          <w:tcPr>
            <w:tcW w:w="3405" w:type="dxa"/>
            <w:gridSpan w:val="9"/>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r>
      <w:tr>
        <w:trPr/>
        <w:tc>
          <w:tcPr>
            <w:tcW w:w="26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00"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3405"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26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477"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477"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477"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582"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6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Gross Margin</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9,514</w:t>
            </w:r>
          </w:p>
        </w:tc>
        <w:tc>
          <w:tcPr>
            <w:tcW w:w="109"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11,906</w:t>
            </w:r>
          </w:p>
        </w:tc>
        <w:tc>
          <w:tcPr>
            <w:tcW w:w="109"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18.9%</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15,894</w:t>
            </w:r>
          </w:p>
        </w:tc>
        <w:tc>
          <w:tcPr>
            <w:tcW w:w="109"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21,762</w:t>
            </w:r>
          </w:p>
        </w:tc>
        <w:tc>
          <w:tcPr>
            <w:tcW w:w="109"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17.8%</w:t>
            </w:r>
          </w:p>
        </w:tc>
      </w:tr>
      <w:tr>
        <w:trPr/>
        <w:tc>
          <w:tcPr>
            <w:tcW w:w="26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Addback:</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r>
      <w:tr>
        <w:trPr/>
        <w:tc>
          <w:tcPr>
            <w:tcW w:w="26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Share 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2,798</w:t>
            </w:r>
          </w:p>
        </w:tc>
        <w:tc>
          <w:tcPr>
            <w:tcW w:w="109"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6,463</w:t>
            </w:r>
          </w:p>
        </w:tc>
        <w:tc>
          <w:tcPr>
            <w:tcW w:w="109"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0.0%</w:t>
            </w:r>
          </w:p>
        </w:tc>
      </w:tr>
      <w:tr>
        <w:trPr/>
        <w:tc>
          <w:tcPr>
            <w:tcW w:w="26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Restructuring costs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w:t>
            </w:r>
          </w:p>
        </w:tc>
        <w:tc>
          <w:tcPr>
            <w:tcW w:w="109"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w:t>
            </w:r>
          </w:p>
        </w:tc>
        <w:tc>
          <w:tcPr>
            <w:tcW w:w="109"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109</w:t>
            </w:r>
          </w:p>
        </w:tc>
        <w:tc>
          <w:tcPr>
            <w:tcW w:w="109"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w:t>
            </w:r>
          </w:p>
        </w:tc>
      </w:tr>
      <w:tr>
        <w:trPr/>
        <w:tc>
          <w:tcPr>
            <w:tcW w:w="26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433</w:t>
            </w:r>
          </w:p>
        </w:tc>
        <w:tc>
          <w:tcPr>
            <w:tcW w:w="109"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170</w:t>
            </w:r>
          </w:p>
        </w:tc>
        <w:tc>
          <w:tcPr>
            <w:tcW w:w="109"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593</w:t>
            </w:r>
          </w:p>
        </w:tc>
        <w:tc>
          <w:tcPr>
            <w:tcW w:w="109"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255</w:t>
            </w:r>
          </w:p>
        </w:tc>
        <w:tc>
          <w:tcPr>
            <w:tcW w:w="109"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0.2%</w:t>
            </w:r>
          </w:p>
        </w:tc>
      </w:tr>
      <w:tr>
        <w:trPr/>
        <w:tc>
          <w:tcPr>
            <w:tcW w:w="26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1,928</w:t>
            </w:r>
          </w:p>
        </w:tc>
        <w:tc>
          <w:tcPr>
            <w:tcW w:w="109"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1,963</w:t>
            </w:r>
          </w:p>
        </w:tc>
        <w:tc>
          <w:tcPr>
            <w:tcW w:w="109"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3,891</w:t>
            </w:r>
          </w:p>
        </w:tc>
        <w:tc>
          <w:tcPr>
            <w:tcW w:w="109"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3,859</w:t>
            </w:r>
          </w:p>
        </w:tc>
        <w:tc>
          <w:tcPr>
            <w:tcW w:w="109"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w:t>
            </w:r>
          </w:p>
        </w:tc>
      </w:tr>
      <w:tr>
        <w:trPr/>
        <w:tc>
          <w:tcPr>
            <w:tcW w:w="26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Adjusted Gross Margin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14,673</w:t>
            </w:r>
          </w:p>
        </w:tc>
        <w:tc>
          <w:tcPr>
            <w:tcW w:w="109" w:type="dxa"/>
            <w:tcBorders/>
            <w:shd w:fill="CCEEFF" w:val="cle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14,085</w:t>
            </w:r>
          </w:p>
        </w:tc>
        <w:tc>
          <w:tcPr>
            <w:tcW w:w="109" w:type="dxa"/>
            <w:tcBorders/>
            <w:shd w:fill="CCEEFF" w:val="cle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26,878</w:t>
            </w:r>
          </w:p>
        </w:tc>
        <w:tc>
          <w:tcPr>
            <w:tcW w:w="109" w:type="dxa"/>
            <w:tcBorders/>
            <w:shd w:fill="CCEEFF" w:val="cle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25,985</w:t>
            </w:r>
          </w:p>
        </w:tc>
        <w:tc>
          <w:tcPr>
            <w:tcW w:w="109" w:type="dxa"/>
            <w:tcBorders/>
            <w:shd w:fill="CCEEFF" w:val="cle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6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Adjusted Gross Margin Percentage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21.3%</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PARK DENTAL PARTNERS,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RECONCILIATION OF NET INCOME TO ADJUSTED EBITDA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091"/>
        <w:gridCol w:w="346"/>
        <w:gridCol w:w="196"/>
        <w:gridCol w:w="511"/>
        <w:gridCol w:w="109"/>
        <w:gridCol w:w="552"/>
        <w:gridCol w:w="346"/>
        <w:gridCol w:w="196"/>
        <w:gridCol w:w="511"/>
        <w:gridCol w:w="109"/>
        <w:gridCol w:w="530"/>
        <w:gridCol w:w="346"/>
        <w:gridCol w:w="196"/>
        <w:gridCol w:w="622"/>
        <w:gridCol w:w="109"/>
        <w:gridCol w:w="544"/>
        <w:gridCol w:w="346"/>
        <w:gridCol w:w="196"/>
        <w:gridCol w:w="601"/>
        <w:gridCol w:w="109"/>
        <w:gridCol w:w="639"/>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962785" cy="175260"/>
                      <wp:effectExtent l="0" t="0" r="0" b="0"/>
                      <wp:wrapNone/>
                      <wp:docPr id="92" name="Frame92"/>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19710" cy="175260"/>
                      <wp:effectExtent l="0" t="0" r="0" b="0"/>
                      <wp:wrapNone/>
                      <wp:docPr id="93" name="Frame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24460" cy="175260"/>
                      <wp:effectExtent l="0" t="0" r="0" b="0"/>
                      <wp:wrapNone/>
                      <wp:docPr id="94" name="Frame9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324485" cy="175260"/>
                      <wp:effectExtent l="0" t="0" r="0" b="0"/>
                      <wp:wrapNone/>
                      <wp:docPr id="95" name="Frame95"/>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9215" cy="175260"/>
                      <wp:effectExtent l="0" t="0" r="0" b="0"/>
                      <wp:wrapNone/>
                      <wp:docPr id="96" name="Frame9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350520" cy="175260"/>
                      <wp:effectExtent l="0" t="0" r="0" b="0"/>
                      <wp:wrapNone/>
                      <wp:docPr id="97" name="Frame97"/>
                      <a:graphic xmlns:a="http://schemas.openxmlformats.org/drawingml/2006/main">
                        <a:graphicData uri="http://schemas.microsoft.com/office/word/2010/wordprocessingShape">
                          <wps:wsp>
                            <wps:cNvSpPr txBox="1"/>
                            <wps:spPr>
                              <a:xfrm>
                                <a:off x="0" y="0"/>
                                <a:ext cx="350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19710" cy="175260"/>
                      <wp:effectExtent l="0" t="0" r="0" b="0"/>
                      <wp:wrapNone/>
                      <wp:docPr id="98" name="Frame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24460" cy="175260"/>
                      <wp:effectExtent l="0" t="0" r="0" b="0"/>
                      <wp:wrapNone/>
                      <wp:docPr id="99" name="Frame9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324485" cy="175260"/>
                      <wp:effectExtent l="0" t="0" r="0" b="0"/>
                      <wp:wrapNone/>
                      <wp:docPr id="100" name="Frame100"/>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9215" cy="175260"/>
                      <wp:effectExtent l="0" t="0" r="0" b="0"/>
                      <wp:wrapNone/>
                      <wp:docPr id="101" name="Frame10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336550" cy="175260"/>
                      <wp:effectExtent l="0" t="0" r="0" b="0"/>
                      <wp:wrapNone/>
                      <wp:docPr id="102" name="Frame102"/>
                      <a:graphic xmlns:a="http://schemas.openxmlformats.org/drawingml/2006/main">
                        <a:graphicData uri="http://schemas.microsoft.com/office/word/2010/wordprocessingShape">
                          <wps:wsp>
                            <wps:cNvSpPr txBox="1"/>
                            <wps:spPr>
                              <a:xfrm>
                                <a:off x="0" y="0"/>
                                <a:ext cx="336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19710" cy="175260"/>
                      <wp:effectExtent l="0" t="0" r="0" b="0"/>
                      <wp:wrapNone/>
                      <wp:docPr id="103" name="Frame1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24460" cy="175260"/>
                      <wp:effectExtent l="0" t="0" r="0" b="0"/>
                      <wp:wrapNone/>
                      <wp:docPr id="104" name="Frame10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394970" cy="175260"/>
                      <wp:effectExtent l="0" t="0" r="0" b="0"/>
                      <wp:wrapNone/>
                      <wp:docPr id="105" name="Frame105"/>
                      <a:graphic xmlns:a="http://schemas.openxmlformats.org/drawingml/2006/main">
                        <a:graphicData uri="http://schemas.microsoft.com/office/word/2010/wordprocessingShape">
                          <wps:wsp>
                            <wps:cNvSpPr txBox="1"/>
                            <wps:spPr>
                              <a:xfrm>
                                <a:off x="0" y="0"/>
                                <a:ext cx="394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9215" cy="175260"/>
                      <wp:effectExtent l="0" t="0" r="0" b="0"/>
                      <wp:wrapNone/>
                      <wp:docPr id="106" name="Frame10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345440" cy="175260"/>
                      <wp:effectExtent l="0" t="0" r="0" b="0"/>
                      <wp:wrapNone/>
                      <wp:docPr id="107" name="Frame107"/>
                      <a:graphic xmlns:a="http://schemas.openxmlformats.org/drawingml/2006/main">
                        <a:graphicData uri="http://schemas.microsoft.com/office/word/2010/wordprocessingShape">
                          <wps:wsp>
                            <wps:cNvSpPr txBox="1"/>
                            <wps:spPr>
                              <a:xfrm>
                                <a:off x="0" y="0"/>
                                <a:ext cx="345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19710" cy="175260"/>
                      <wp:effectExtent l="0" t="0" r="0" b="0"/>
                      <wp:wrapNone/>
                      <wp:docPr id="108" name="Frame1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24460" cy="175260"/>
                      <wp:effectExtent l="0" t="0" r="0" b="0"/>
                      <wp:wrapNone/>
                      <wp:docPr id="109" name="Frame10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381635" cy="175260"/>
                      <wp:effectExtent l="0" t="0" r="0" b="0"/>
                      <wp:wrapNone/>
                      <wp:docPr id="110" name="Frame110"/>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9215" cy="175260"/>
                      <wp:effectExtent l="0" t="0" r="0" b="0"/>
                      <wp:wrapNone/>
                      <wp:docPr id="111" name="Frame1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405765" cy="175260"/>
                      <wp:effectExtent l="0" t="0" r="0" b="0"/>
                      <wp:wrapNone/>
                      <wp:docPr id="112" name="Frame112"/>
                      <a:graphic xmlns:a="http://schemas.openxmlformats.org/drawingml/2006/main">
                        <a:graphicData uri="http://schemas.microsoft.com/office/word/2010/wordprocessingShape">
                          <wps:wsp>
                            <wps:cNvSpPr txBox="1"/>
                            <wps:spPr>
                              <a:xfrm>
                                <a:off x="0" y="0"/>
                                <a:ext cx="405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60" w:type="dxa"/>
            <w:gridSpan w:val="9"/>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46" w:type="dxa"/>
            <w:tcBorders/>
            <w:vAlign w:val="center"/>
          </w:tcPr>
          <w:p>
            <w:pPr>
              <w:pStyle w:val="TableContents"/>
              <w:bidi w:val="0"/>
              <w:spacing w:before="0" w:after="0"/>
              <w:ind w:left="0" w:right="0" w:hanging="0"/>
              <w:jc w:val="left"/>
              <w:rPr/>
            </w:pPr>
            <w:r>
              <w:rPr/>
              <w:t>​</w:t>
            </w:r>
          </w:p>
        </w:tc>
        <w:tc>
          <w:tcPr>
            <w:tcW w:w="3362" w:type="dxa"/>
            <w:gridSpan w:val="9"/>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r>
      <w:tr>
        <w:trPr/>
        <w:tc>
          <w:tcPr>
            <w:tcW w:w="30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60"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3362"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0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36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346"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471"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545"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 attributable to Park Dental Partners, Inc.</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1,349</w:t>
            </w:r>
          </w:p>
        </w:tc>
        <w:tc>
          <w:tcPr>
            <w:tcW w:w="109" w:type="dxa"/>
            <w:tcBorders/>
            <w:shd w:fill="CCEEFF" w:val="clear"/>
            <w:vAlign w:val="center"/>
          </w:tcPr>
          <w:p>
            <w:pPr>
              <w:pStyle w:val="TableContents"/>
              <w:bidi w:val="0"/>
              <w:spacing w:before="0" w:after="0"/>
              <w:ind w:left="0" w:right="0" w:hanging="0"/>
              <w:jc w:val="left"/>
              <w:rPr/>
            </w:pPr>
            <w:r>
              <w:rPr/>
              <w:t>​</w:t>
            </w:r>
          </w:p>
        </w:tc>
        <w:tc>
          <w:tcPr>
            <w:tcW w:w="55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2,570</w:t>
            </w:r>
          </w:p>
        </w:tc>
        <w:tc>
          <w:tcPr>
            <w:tcW w:w="109" w:type="dxa"/>
            <w:tcBorders/>
            <w:shd w:fill="CCEEFF" w:val="clear"/>
            <w:vAlign w:val="center"/>
          </w:tcPr>
          <w:p>
            <w:pPr>
              <w:pStyle w:val="TableContents"/>
              <w:bidi w:val="0"/>
              <w:spacing w:before="0" w:after="0"/>
              <w:ind w:left="0" w:right="0" w:hanging="0"/>
              <w:jc w:val="left"/>
              <w:rPr/>
            </w:pPr>
            <w:r>
              <w:rPr/>
              <w:t>​</w:t>
            </w:r>
          </w:p>
        </w:tc>
        <w:tc>
          <w:tcPr>
            <w:tcW w:w="53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2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959</w:t>
            </w:r>
          </w:p>
        </w:tc>
        <w:tc>
          <w:tcPr>
            <w:tcW w:w="109" w:type="dxa"/>
            <w:tcBorders/>
            <w:shd w:fill="CCEEFF" w:val="clear"/>
            <w:vAlign w:val="center"/>
          </w:tcPr>
          <w:p>
            <w:pPr>
              <w:pStyle w:val="TableContents"/>
              <w:bidi w:val="0"/>
              <w:spacing w:before="0" w:after="0"/>
              <w:ind w:left="0" w:right="0" w:hanging="0"/>
              <w:jc w:val="left"/>
              <w:rPr/>
            </w:pPr>
            <w:r>
              <w:rPr/>
              <w:t>​</w:t>
            </w:r>
          </w:p>
        </w:tc>
        <w:tc>
          <w:tcPr>
            <w:tcW w:w="54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4,136</w:t>
            </w:r>
          </w:p>
        </w:tc>
        <w:tc>
          <w:tcPr>
            <w:tcW w:w="109" w:type="dxa"/>
            <w:tcBorders/>
            <w:shd w:fill="CCEEFF" w:val="clear"/>
            <w:vAlign w:val="center"/>
          </w:tcPr>
          <w:p>
            <w:pPr>
              <w:pStyle w:val="TableContents"/>
              <w:bidi w:val="0"/>
              <w:spacing w:before="0" w:after="0"/>
              <w:ind w:left="0" w:right="0" w:hanging="0"/>
              <w:jc w:val="left"/>
              <w:rPr/>
            </w:pPr>
            <w:r>
              <w:rPr/>
              <w:t>​</w:t>
            </w:r>
          </w:p>
        </w:tc>
        <w:tc>
          <w:tcPr>
            <w:tcW w:w="63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Addback/(Deduct):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5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3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2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4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39" w:type="dxa"/>
            <w:tcBorders/>
            <w:vAlign w:val="center"/>
          </w:tcPr>
          <w:p>
            <w:pPr>
              <w:pStyle w:val="TableContents"/>
              <w:bidi w:val="0"/>
              <w:spacing w:before="0" w:after="0"/>
              <w:ind w:left="0" w:right="0" w:hanging="0"/>
              <w:jc w:val="right"/>
              <w:rPr/>
            </w:pPr>
            <w:r>
              <w:rPr/>
              <w:t>​</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Provision/(Benefit) for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(230)</w:t>
            </w:r>
          </w:p>
        </w:tc>
        <w:tc>
          <w:tcPr>
            <w:tcW w:w="109" w:type="dxa"/>
            <w:tcBorders/>
            <w:shd w:fill="CCEEFF" w:val="clear"/>
            <w:vAlign w:val="center"/>
          </w:tcPr>
          <w:p>
            <w:pPr>
              <w:pStyle w:val="TableContents"/>
              <w:bidi w:val="0"/>
              <w:spacing w:before="0" w:after="0"/>
              <w:ind w:left="0" w:right="0" w:hanging="0"/>
              <w:jc w:val="left"/>
              <w:rPr/>
            </w:pPr>
            <w:r>
              <w:rPr/>
              <w:t>​</w:t>
            </w:r>
          </w:p>
        </w:tc>
        <w:tc>
          <w:tcPr>
            <w:tcW w:w="55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1,248</w:t>
            </w:r>
          </w:p>
        </w:tc>
        <w:tc>
          <w:tcPr>
            <w:tcW w:w="109" w:type="dxa"/>
            <w:tcBorders/>
            <w:shd w:fill="CCEEFF" w:val="clear"/>
            <w:vAlign w:val="center"/>
          </w:tcPr>
          <w:p>
            <w:pPr>
              <w:pStyle w:val="TableContents"/>
              <w:bidi w:val="0"/>
              <w:spacing w:before="0" w:after="0"/>
              <w:ind w:left="0" w:right="0" w:hanging="0"/>
              <w:jc w:val="left"/>
              <w:rPr/>
            </w:pPr>
            <w:r>
              <w:rPr/>
              <w:t>​</w:t>
            </w:r>
          </w:p>
        </w:tc>
        <w:tc>
          <w:tcPr>
            <w:tcW w:w="53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2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(1,841)</w:t>
            </w:r>
          </w:p>
        </w:tc>
        <w:tc>
          <w:tcPr>
            <w:tcW w:w="109" w:type="dxa"/>
            <w:tcBorders/>
            <w:shd w:fill="CCEEFF" w:val="clear"/>
            <w:vAlign w:val="center"/>
          </w:tcPr>
          <w:p>
            <w:pPr>
              <w:pStyle w:val="TableContents"/>
              <w:bidi w:val="0"/>
              <w:spacing w:before="0" w:after="0"/>
              <w:ind w:left="0" w:right="0" w:hanging="0"/>
              <w:jc w:val="left"/>
              <w:rPr/>
            </w:pPr>
            <w:r>
              <w:rPr/>
              <w:t>​</w:t>
            </w:r>
          </w:p>
        </w:tc>
        <w:tc>
          <w:tcPr>
            <w:tcW w:w="54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1,894</w:t>
            </w:r>
          </w:p>
        </w:tc>
        <w:tc>
          <w:tcPr>
            <w:tcW w:w="109" w:type="dxa"/>
            <w:tcBorders/>
            <w:shd w:fill="CCEEFF" w:val="clear"/>
            <w:vAlign w:val="center"/>
          </w:tcPr>
          <w:p>
            <w:pPr>
              <w:pStyle w:val="TableContents"/>
              <w:bidi w:val="0"/>
              <w:spacing w:before="0" w:after="0"/>
              <w:ind w:left="0" w:right="0" w:hanging="0"/>
              <w:jc w:val="left"/>
              <w:rPr/>
            </w:pPr>
            <w:r>
              <w:rPr/>
              <w:t>​</w:t>
            </w:r>
          </w:p>
        </w:tc>
        <w:tc>
          <w:tcPr>
            <w:tcW w:w="63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expense, net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137</w:t>
            </w:r>
          </w:p>
        </w:tc>
        <w:tc>
          <w:tcPr>
            <w:tcW w:w="109" w:type="dxa"/>
            <w:tcBorders/>
            <w:vAlign w:val="center"/>
          </w:tcPr>
          <w:p>
            <w:pPr>
              <w:pStyle w:val="TableContents"/>
              <w:bidi w:val="0"/>
              <w:spacing w:before="0" w:after="0"/>
              <w:ind w:left="0" w:right="0" w:hanging="0"/>
              <w:jc w:val="left"/>
              <w:rPr/>
            </w:pPr>
            <w:r>
              <w:rPr/>
              <w:t>​</w:t>
            </w:r>
          </w:p>
        </w:tc>
        <w:tc>
          <w:tcPr>
            <w:tcW w:w="55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334</w:t>
            </w:r>
          </w:p>
        </w:tc>
        <w:tc>
          <w:tcPr>
            <w:tcW w:w="109" w:type="dxa"/>
            <w:tcBorders/>
            <w:vAlign w:val="center"/>
          </w:tcPr>
          <w:p>
            <w:pPr>
              <w:pStyle w:val="TableContents"/>
              <w:bidi w:val="0"/>
              <w:spacing w:before="0" w:after="0"/>
              <w:ind w:left="0" w:right="0" w:hanging="0"/>
              <w:jc w:val="left"/>
              <w:rPr/>
            </w:pPr>
            <w:r>
              <w:rPr/>
              <w:t>​</w:t>
            </w:r>
          </w:p>
        </w:tc>
        <w:tc>
          <w:tcPr>
            <w:tcW w:w="53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258</w:t>
            </w:r>
          </w:p>
        </w:tc>
        <w:tc>
          <w:tcPr>
            <w:tcW w:w="109" w:type="dxa"/>
            <w:tcBorders/>
            <w:vAlign w:val="center"/>
          </w:tcPr>
          <w:p>
            <w:pPr>
              <w:pStyle w:val="TableContents"/>
              <w:bidi w:val="0"/>
              <w:spacing w:before="0" w:after="0"/>
              <w:ind w:left="0" w:right="0" w:hanging="0"/>
              <w:jc w:val="left"/>
              <w:rPr/>
            </w:pPr>
            <w:r>
              <w:rPr/>
              <w:t>​</w:t>
            </w:r>
          </w:p>
        </w:tc>
        <w:tc>
          <w:tcPr>
            <w:tcW w:w="54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671</w:t>
            </w:r>
          </w:p>
        </w:tc>
        <w:tc>
          <w:tcPr>
            <w:tcW w:w="109" w:type="dxa"/>
            <w:tcBorders/>
            <w:vAlign w:val="center"/>
          </w:tcPr>
          <w:p>
            <w:pPr>
              <w:pStyle w:val="TableContents"/>
              <w:bidi w:val="0"/>
              <w:spacing w:before="0" w:after="0"/>
              <w:ind w:left="0" w:right="0" w:hanging="0"/>
              <w:jc w:val="left"/>
              <w:rPr/>
            </w:pPr>
            <w:r>
              <w:rPr/>
              <w:t>​</w:t>
            </w:r>
          </w:p>
        </w:tc>
        <w:tc>
          <w:tcPr>
            <w:tcW w:w="63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0.5%</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2,350</w:t>
            </w:r>
          </w:p>
        </w:tc>
        <w:tc>
          <w:tcPr>
            <w:tcW w:w="109" w:type="dxa"/>
            <w:tcBorders/>
            <w:shd w:fill="CCEEFF" w:val="clear"/>
            <w:vAlign w:val="center"/>
          </w:tcPr>
          <w:p>
            <w:pPr>
              <w:pStyle w:val="TableContents"/>
              <w:bidi w:val="0"/>
              <w:spacing w:before="0" w:after="0"/>
              <w:ind w:left="0" w:right="0" w:hanging="0"/>
              <w:jc w:val="left"/>
              <w:rPr/>
            </w:pPr>
            <w:r>
              <w:rPr/>
              <w:t>​</w:t>
            </w:r>
          </w:p>
        </w:tc>
        <w:tc>
          <w:tcPr>
            <w:tcW w:w="55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2,337</w:t>
            </w:r>
          </w:p>
        </w:tc>
        <w:tc>
          <w:tcPr>
            <w:tcW w:w="109" w:type="dxa"/>
            <w:tcBorders/>
            <w:shd w:fill="CCEEFF" w:val="clear"/>
            <w:vAlign w:val="center"/>
          </w:tcPr>
          <w:p>
            <w:pPr>
              <w:pStyle w:val="TableContents"/>
              <w:bidi w:val="0"/>
              <w:spacing w:before="0" w:after="0"/>
              <w:ind w:left="0" w:right="0" w:hanging="0"/>
              <w:jc w:val="left"/>
              <w:rPr/>
            </w:pPr>
            <w:r>
              <w:rPr/>
              <w:t>​</w:t>
            </w:r>
          </w:p>
        </w:tc>
        <w:tc>
          <w:tcPr>
            <w:tcW w:w="53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4,733</w:t>
            </w:r>
          </w:p>
        </w:tc>
        <w:tc>
          <w:tcPr>
            <w:tcW w:w="109" w:type="dxa"/>
            <w:tcBorders/>
            <w:shd w:fill="CCEEFF" w:val="clear"/>
            <w:vAlign w:val="center"/>
          </w:tcPr>
          <w:p>
            <w:pPr>
              <w:pStyle w:val="TableContents"/>
              <w:bidi w:val="0"/>
              <w:spacing w:before="0" w:after="0"/>
              <w:ind w:left="0" w:right="0" w:hanging="0"/>
              <w:jc w:val="left"/>
              <w:rPr/>
            </w:pPr>
            <w:r>
              <w:rPr/>
              <w:t>​</w:t>
            </w:r>
          </w:p>
        </w:tc>
        <w:tc>
          <w:tcPr>
            <w:tcW w:w="54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4,611</w:t>
            </w:r>
          </w:p>
        </w:tc>
        <w:tc>
          <w:tcPr>
            <w:tcW w:w="109" w:type="dxa"/>
            <w:tcBorders/>
            <w:shd w:fill="CCEEFF" w:val="clear"/>
            <w:vAlign w:val="center"/>
          </w:tcPr>
          <w:p>
            <w:pPr>
              <w:pStyle w:val="TableContents"/>
              <w:bidi w:val="0"/>
              <w:spacing w:before="0" w:after="0"/>
              <w:ind w:left="0" w:right="0" w:hanging="0"/>
              <w:jc w:val="left"/>
              <w:rPr/>
            </w:pPr>
            <w:r>
              <w:rPr/>
              <w:t>​</w:t>
            </w:r>
          </w:p>
        </w:tc>
        <w:tc>
          <w:tcPr>
            <w:tcW w:w="63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EBITDA</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3,606</w:t>
            </w:r>
          </w:p>
        </w:tc>
        <w:tc>
          <w:tcPr>
            <w:tcW w:w="109" w:type="dxa"/>
            <w:tcBorders/>
            <w:vAlign w:val="center"/>
          </w:tcPr>
          <w:p>
            <w:pPr>
              <w:pStyle w:val="TableContents"/>
              <w:bidi w:val="0"/>
              <w:spacing w:before="0" w:after="0"/>
              <w:ind w:left="0" w:right="0" w:hanging="0"/>
              <w:jc w:val="left"/>
              <w:rPr/>
            </w:pPr>
            <w:r>
              <w:rPr/>
              <w:t>​</w:t>
            </w:r>
          </w:p>
        </w:tc>
        <w:tc>
          <w:tcPr>
            <w:tcW w:w="55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6,489</w:t>
            </w:r>
          </w:p>
        </w:tc>
        <w:tc>
          <w:tcPr>
            <w:tcW w:w="109" w:type="dxa"/>
            <w:tcBorders/>
            <w:vAlign w:val="center"/>
          </w:tcPr>
          <w:p>
            <w:pPr>
              <w:pStyle w:val="TableContents"/>
              <w:bidi w:val="0"/>
              <w:spacing w:before="0" w:after="0"/>
              <w:ind w:left="0" w:right="0" w:hanging="0"/>
              <w:jc w:val="left"/>
              <w:rPr/>
            </w:pPr>
            <w:r>
              <w:rPr/>
              <w:t>​</w:t>
            </w:r>
          </w:p>
        </w:tc>
        <w:tc>
          <w:tcPr>
            <w:tcW w:w="53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4,109</w:t>
            </w:r>
          </w:p>
        </w:tc>
        <w:tc>
          <w:tcPr>
            <w:tcW w:w="109" w:type="dxa"/>
            <w:tcBorders/>
            <w:vAlign w:val="center"/>
          </w:tcPr>
          <w:p>
            <w:pPr>
              <w:pStyle w:val="TableContents"/>
              <w:bidi w:val="0"/>
              <w:spacing w:before="0" w:after="0"/>
              <w:ind w:left="0" w:right="0" w:hanging="0"/>
              <w:jc w:val="left"/>
              <w:rPr/>
            </w:pPr>
            <w:r>
              <w:rPr/>
              <w:t>​</w:t>
            </w:r>
          </w:p>
        </w:tc>
        <w:tc>
          <w:tcPr>
            <w:tcW w:w="54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11,312</w:t>
            </w:r>
          </w:p>
        </w:tc>
        <w:tc>
          <w:tcPr>
            <w:tcW w:w="109" w:type="dxa"/>
            <w:tcBorders/>
            <w:vAlign w:val="center"/>
          </w:tcPr>
          <w:p>
            <w:pPr>
              <w:pStyle w:val="TableContents"/>
              <w:bidi w:val="0"/>
              <w:spacing w:before="0" w:after="0"/>
              <w:ind w:left="0" w:right="0" w:hanging="0"/>
              <w:jc w:val="left"/>
              <w:rPr/>
            </w:pPr>
            <w:r>
              <w:rPr/>
              <w:t>​</w:t>
            </w:r>
          </w:p>
        </w:tc>
        <w:tc>
          <w:tcPr>
            <w:tcW w:w="63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Adjustments: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5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3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2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4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39" w:type="dxa"/>
            <w:tcBorders/>
            <w:shd w:fill="CCEEFF" w:val="clear"/>
            <w:vAlign w:val="center"/>
          </w:tcPr>
          <w:p>
            <w:pPr>
              <w:pStyle w:val="TableContents"/>
              <w:bidi w:val="0"/>
              <w:spacing w:before="0" w:after="0"/>
              <w:ind w:left="0" w:right="0" w:hanging="0"/>
              <w:jc w:val="right"/>
              <w:rPr/>
            </w:pPr>
            <w:r>
              <w:rPr/>
              <w:t>​</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Share based compensation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3,035</w:t>
            </w:r>
          </w:p>
        </w:tc>
        <w:tc>
          <w:tcPr>
            <w:tcW w:w="109" w:type="dxa"/>
            <w:tcBorders/>
            <w:vAlign w:val="center"/>
          </w:tcPr>
          <w:p>
            <w:pPr>
              <w:pStyle w:val="TableContents"/>
              <w:bidi w:val="0"/>
              <w:spacing w:before="0" w:after="0"/>
              <w:ind w:left="0" w:right="0" w:hanging="0"/>
              <w:jc w:val="left"/>
              <w:rPr/>
            </w:pPr>
            <w:r>
              <w:rPr/>
              <w:t>​</w:t>
            </w:r>
          </w:p>
        </w:tc>
        <w:tc>
          <w:tcPr>
            <w:tcW w:w="55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0"/>
              <w:ind w:left="0" w:right="0" w:hanging="0"/>
              <w:jc w:val="left"/>
              <w:rPr/>
            </w:pPr>
            <w:r>
              <w:rPr/>
              <w:t>​</w:t>
            </w:r>
          </w:p>
        </w:tc>
        <w:tc>
          <w:tcPr>
            <w:tcW w:w="53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2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7,059</w:t>
            </w:r>
          </w:p>
        </w:tc>
        <w:tc>
          <w:tcPr>
            <w:tcW w:w="109" w:type="dxa"/>
            <w:tcBorders/>
            <w:vAlign w:val="center"/>
          </w:tcPr>
          <w:p>
            <w:pPr>
              <w:pStyle w:val="TableContents"/>
              <w:bidi w:val="0"/>
              <w:spacing w:before="0" w:after="0"/>
              <w:ind w:left="0" w:right="0" w:hanging="0"/>
              <w:jc w:val="left"/>
              <w:rPr/>
            </w:pPr>
            <w:r>
              <w:rPr/>
              <w:t>​</w:t>
            </w:r>
          </w:p>
        </w:tc>
        <w:tc>
          <w:tcPr>
            <w:tcW w:w="54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0"/>
              <w:ind w:left="0" w:right="0" w:hanging="0"/>
              <w:jc w:val="left"/>
              <w:rPr/>
            </w:pPr>
            <w:r>
              <w:rPr/>
              <w:t>​</w:t>
            </w:r>
          </w:p>
        </w:tc>
        <w:tc>
          <w:tcPr>
            <w:tcW w:w="63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0.0%</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Restructuring costs</w:t>
            </w:r>
            <w:r>
              <w:rPr>
                <w:rFonts w:ascii="Times New Roman;Times;serif" w:hAnsi="Times New Roman;Times;serif"/>
                <w:sz w:val="14"/>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347</w:t>
            </w:r>
          </w:p>
        </w:tc>
        <w:tc>
          <w:tcPr>
            <w:tcW w:w="109" w:type="dxa"/>
            <w:tcBorders/>
            <w:shd w:fill="CCEEFF" w:val="clear"/>
            <w:vAlign w:val="center"/>
          </w:tcPr>
          <w:p>
            <w:pPr>
              <w:pStyle w:val="TableContents"/>
              <w:bidi w:val="0"/>
              <w:spacing w:before="0" w:after="0"/>
              <w:ind w:left="0" w:right="0" w:hanging="0"/>
              <w:jc w:val="left"/>
              <w:rPr/>
            </w:pPr>
            <w:r>
              <w:rPr/>
              <w:t>​</w:t>
            </w:r>
          </w:p>
        </w:tc>
        <w:tc>
          <w:tcPr>
            <w:tcW w:w="55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893</w:t>
            </w:r>
          </w:p>
        </w:tc>
        <w:tc>
          <w:tcPr>
            <w:tcW w:w="109" w:type="dxa"/>
            <w:tcBorders/>
            <w:shd w:fill="CCEEFF" w:val="clear"/>
            <w:vAlign w:val="center"/>
          </w:tcPr>
          <w:p>
            <w:pPr>
              <w:pStyle w:val="TableContents"/>
              <w:bidi w:val="0"/>
              <w:spacing w:before="0" w:after="0"/>
              <w:ind w:left="0" w:right="0" w:hanging="0"/>
              <w:jc w:val="left"/>
              <w:rPr/>
            </w:pPr>
            <w:r>
              <w:rPr/>
              <w:t>​</w:t>
            </w:r>
          </w:p>
        </w:tc>
        <w:tc>
          <w:tcPr>
            <w:tcW w:w="53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2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405</w:t>
            </w:r>
          </w:p>
        </w:tc>
        <w:tc>
          <w:tcPr>
            <w:tcW w:w="109" w:type="dxa"/>
            <w:tcBorders/>
            <w:shd w:fill="CCEEFF" w:val="clear"/>
            <w:vAlign w:val="center"/>
          </w:tcPr>
          <w:p>
            <w:pPr>
              <w:pStyle w:val="TableContents"/>
              <w:bidi w:val="0"/>
              <w:spacing w:before="0" w:after="0"/>
              <w:ind w:left="0" w:right="0" w:hanging="0"/>
              <w:jc w:val="left"/>
              <w:rPr/>
            </w:pPr>
            <w:r>
              <w:rPr/>
              <w:t>​</w:t>
            </w:r>
          </w:p>
        </w:tc>
        <w:tc>
          <w:tcPr>
            <w:tcW w:w="54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1,376</w:t>
            </w:r>
          </w:p>
        </w:tc>
        <w:tc>
          <w:tcPr>
            <w:tcW w:w="109" w:type="dxa"/>
            <w:tcBorders/>
            <w:shd w:fill="CCEEFF" w:val="clear"/>
            <w:vAlign w:val="center"/>
          </w:tcPr>
          <w:p>
            <w:pPr>
              <w:pStyle w:val="TableContents"/>
              <w:bidi w:val="0"/>
              <w:spacing w:before="0" w:after="0"/>
              <w:ind w:left="0" w:right="0" w:hanging="0"/>
              <w:jc w:val="left"/>
              <w:rPr/>
            </w:pPr>
            <w:r>
              <w:rPr/>
              <w:t>​</w:t>
            </w:r>
          </w:p>
        </w:tc>
        <w:tc>
          <w:tcPr>
            <w:tcW w:w="63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compensation</w:t>
            </w:r>
            <w:r>
              <w:rPr>
                <w:rFonts w:ascii="Times New Roman;Times;serif" w:hAnsi="Times New Roman;Times;serif"/>
                <w:sz w:val="14"/>
              </w:rPr>
              <w:t>(2)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433</w:t>
            </w:r>
          </w:p>
        </w:tc>
        <w:tc>
          <w:tcPr>
            <w:tcW w:w="109" w:type="dxa"/>
            <w:tcBorders/>
            <w:vAlign w:val="center"/>
          </w:tcPr>
          <w:p>
            <w:pPr>
              <w:pStyle w:val="TableContents"/>
              <w:bidi w:val="0"/>
              <w:spacing w:before="0" w:after="0"/>
              <w:ind w:left="0" w:right="0" w:hanging="0"/>
              <w:jc w:val="left"/>
              <w:rPr/>
            </w:pPr>
            <w:r>
              <w:rPr/>
              <w:t>​</w:t>
            </w:r>
          </w:p>
        </w:tc>
        <w:tc>
          <w:tcPr>
            <w:tcW w:w="55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0.7%</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170</w:t>
            </w:r>
          </w:p>
        </w:tc>
        <w:tc>
          <w:tcPr>
            <w:tcW w:w="109" w:type="dxa"/>
            <w:tcBorders/>
            <w:vAlign w:val="center"/>
          </w:tcPr>
          <w:p>
            <w:pPr>
              <w:pStyle w:val="TableContents"/>
              <w:bidi w:val="0"/>
              <w:spacing w:before="0" w:after="0"/>
              <w:ind w:left="0" w:right="0" w:hanging="0"/>
              <w:jc w:val="left"/>
              <w:rPr/>
            </w:pPr>
            <w:r>
              <w:rPr/>
              <w:t>​</w:t>
            </w:r>
          </w:p>
        </w:tc>
        <w:tc>
          <w:tcPr>
            <w:tcW w:w="53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593</w:t>
            </w:r>
          </w:p>
        </w:tc>
        <w:tc>
          <w:tcPr>
            <w:tcW w:w="109" w:type="dxa"/>
            <w:tcBorders/>
            <w:vAlign w:val="center"/>
          </w:tcPr>
          <w:p>
            <w:pPr>
              <w:pStyle w:val="TableContents"/>
              <w:bidi w:val="0"/>
              <w:spacing w:before="0" w:after="0"/>
              <w:ind w:left="0" w:right="0" w:hanging="0"/>
              <w:jc w:val="left"/>
              <w:rPr/>
            </w:pPr>
            <w:r>
              <w:rPr/>
              <w:t>​</w:t>
            </w:r>
          </w:p>
        </w:tc>
        <w:tc>
          <w:tcPr>
            <w:tcW w:w="54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329</w:t>
            </w:r>
          </w:p>
        </w:tc>
        <w:tc>
          <w:tcPr>
            <w:tcW w:w="109" w:type="dxa"/>
            <w:tcBorders/>
            <w:vAlign w:val="center"/>
          </w:tcPr>
          <w:p>
            <w:pPr>
              <w:pStyle w:val="TableContents"/>
              <w:bidi w:val="0"/>
              <w:spacing w:before="0" w:after="0"/>
              <w:ind w:left="0" w:right="0" w:hanging="0"/>
              <w:jc w:val="left"/>
              <w:rPr/>
            </w:pPr>
            <w:r>
              <w:rPr/>
              <w:t>​</w:t>
            </w:r>
          </w:p>
        </w:tc>
        <w:tc>
          <w:tcPr>
            <w:tcW w:w="63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0.3%</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Adjusted EBITDA</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7,421</w:t>
            </w:r>
          </w:p>
        </w:tc>
        <w:tc>
          <w:tcPr>
            <w:tcW w:w="109" w:type="dxa"/>
            <w:tcBorders/>
            <w:shd w:fill="CCEEFF" w:val="clear"/>
            <w:vAlign w:val="center"/>
          </w:tcPr>
          <w:p>
            <w:pPr>
              <w:pStyle w:val="TableContents"/>
              <w:bidi w:val="0"/>
              <w:spacing w:before="0" w:after="0"/>
              <w:ind w:left="0" w:right="0" w:hanging="0"/>
              <w:jc w:val="left"/>
              <w:rPr/>
            </w:pPr>
            <w:r>
              <w:rPr/>
              <w:t>​</w:t>
            </w:r>
          </w:p>
        </w:tc>
        <w:tc>
          <w:tcPr>
            <w:tcW w:w="5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7,552</w:t>
            </w:r>
          </w:p>
        </w:tc>
        <w:tc>
          <w:tcPr>
            <w:tcW w:w="109" w:type="dxa"/>
            <w:tcBorders/>
            <w:shd w:fill="CCEEFF" w:val="clear"/>
            <w:vAlign w:val="center"/>
          </w:tcPr>
          <w:p>
            <w:pPr>
              <w:pStyle w:val="TableContents"/>
              <w:bidi w:val="0"/>
              <w:spacing w:before="0" w:after="0"/>
              <w:ind w:left="0" w:right="0" w:hanging="0"/>
              <w:jc w:val="left"/>
              <w:rPr/>
            </w:pPr>
            <w:r>
              <w:rPr/>
              <w:t>​</w:t>
            </w:r>
          </w:p>
        </w:tc>
        <w:tc>
          <w:tcPr>
            <w:tcW w:w="5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2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12,166</w:t>
            </w:r>
          </w:p>
        </w:tc>
        <w:tc>
          <w:tcPr>
            <w:tcW w:w="109" w:type="dxa"/>
            <w:tcBorders/>
            <w:shd w:fill="CCEEFF" w:val="clear"/>
            <w:vAlign w:val="center"/>
          </w:tcPr>
          <w:p>
            <w:pPr>
              <w:pStyle w:val="TableContents"/>
              <w:bidi w:val="0"/>
              <w:spacing w:before="0" w:after="0"/>
              <w:ind w:left="0" w:right="0" w:hanging="0"/>
              <w:jc w:val="left"/>
              <w:rPr/>
            </w:pPr>
            <w:r>
              <w:rPr/>
              <w:t>​</w:t>
            </w:r>
          </w:p>
        </w:tc>
        <w:tc>
          <w:tcPr>
            <w:tcW w:w="5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13,017</w:t>
            </w:r>
          </w:p>
        </w:tc>
        <w:tc>
          <w:tcPr>
            <w:tcW w:w="109" w:type="dxa"/>
            <w:tcBorders/>
            <w:shd w:fill="CCEEFF" w:val="clear"/>
            <w:vAlign w:val="center"/>
          </w:tcPr>
          <w:p>
            <w:pPr>
              <w:pStyle w:val="TableContents"/>
              <w:bidi w:val="0"/>
              <w:spacing w:before="0" w:after="0"/>
              <w:ind w:left="0" w:right="0" w:hanging="0"/>
              <w:jc w:val="left"/>
              <w:rPr/>
            </w:pPr>
            <w:r>
              <w:rPr/>
              <w:t>​</w:t>
            </w:r>
          </w:p>
        </w:tc>
        <w:tc>
          <w:tcPr>
            <w:tcW w:w="6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Adjusted EBITDA Percentage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5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3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2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4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39"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10.7%</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7"/>
        <w:gridCol w:w="9985"/>
      </w:tblGrid>
      <w:tr>
        <w:trPr/>
        <w:tc>
          <w:tcPr>
            <w:tcW w:w="2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i/>
                <w:sz w:val="16"/>
              </w:rPr>
            </w:pPr>
            <w:r>
              <w:rPr>
                <w:rFonts w:ascii="Times New Roman;Times;serif" w:hAnsi="Times New Roman;Times;serif"/>
                <w:i/>
                <w:sz w:val="16"/>
              </w:rPr>
              <w:t>(1)</w:t>
            </w:r>
          </w:p>
        </w:tc>
        <w:tc>
          <w:tcPr>
            <w:tcW w:w="9985" w:type="dxa"/>
            <w:tcBorders/>
            <w:vAlign w:val="center"/>
          </w:tcPr>
          <w:p>
            <w:pPr>
              <w:pStyle w:val="TableContents"/>
              <w:bidi w:val="0"/>
              <w:spacing w:before="0" w:after="283"/>
              <w:jc w:val="left"/>
              <w:rPr>
                <w:rFonts w:ascii="Times New Roman;Times;serif" w:hAnsi="Times New Roman;Times;serif"/>
                <w:b w:val="false"/>
                <w:i/>
                <w:sz w:val="16"/>
              </w:rPr>
            </w:pPr>
            <w:r>
              <w:rPr>
                <w:rFonts w:ascii="Times New Roman;Times;serif" w:hAnsi="Times New Roman;Times;serif"/>
                <w:b w:val="false"/>
                <w:i/>
                <w:sz w:val="16"/>
              </w:rPr>
              <w:t>Restructuring costs for the three and six months ended June 30, 2026 primarily consist of expenses related to acquisition legal costs. Restructuring costs for the three and six months ended June 30, 2025 primarily consist of expenses incurred in connection with the Company’s initial public offering.</w:t>
            </w:r>
          </w:p>
        </w:tc>
      </w:tr>
    </w:tbl>
    <w:p>
      <w:pPr>
        <w:pStyle w:val="TextBody"/>
        <w:bidi w:val="0"/>
        <w:spacing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29"/>
        <w:gridCol w:w="9953"/>
      </w:tblGrid>
      <w:tr>
        <w:trPr/>
        <w:tc>
          <w:tcPr>
            <w:tcW w:w="2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i/>
                <w:sz w:val="16"/>
              </w:rPr>
            </w:pPr>
            <w:r>
              <w:rPr>
                <w:rFonts w:ascii="Times New Roman;Times;serif" w:hAnsi="Times New Roman;Times;serif"/>
                <w:i/>
                <w:sz w:val="16"/>
              </w:rPr>
              <w:t>(2)</w:t>
            </w:r>
          </w:p>
        </w:tc>
        <w:tc>
          <w:tcPr>
            <w:tcW w:w="9953" w:type="dxa"/>
            <w:tcBorders/>
            <w:vAlign w:val="center"/>
          </w:tcPr>
          <w:p>
            <w:pPr>
              <w:pStyle w:val="TableContents"/>
              <w:bidi w:val="0"/>
              <w:spacing w:before="0" w:after="283"/>
              <w:jc w:val="left"/>
              <w:rPr>
                <w:rFonts w:ascii="Times New Roman;Times;serif" w:hAnsi="Times New Roman;Times;serif"/>
                <w:b w:val="false"/>
                <w:i/>
                <w:sz w:val="16"/>
              </w:rPr>
            </w:pPr>
            <w:r>
              <w:rPr>
                <w:rFonts w:ascii="Times New Roman;Times;serif" w:hAnsi="Times New Roman;Times;serif"/>
                <w:b w:val="false"/>
                <w:i/>
                <w:sz w:val="16"/>
              </w:rPr>
              <w:t>Deferred compensation costs primarily consist of expenses incurred with the Company's active and inactive deferred compensation arrangements.</w:t>
            </w:r>
          </w:p>
        </w:tc>
      </w:tr>
    </w:tbl>
    <w:p>
      <w:pPr>
        <w:pStyle w:val="TextBody"/>
        <w:bidi w:val="0"/>
        <w:spacing w:before="0" w:after="160"/>
        <w:ind w:left="0" w:right="0" w:hanging="0"/>
        <w:jc w:val="left"/>
        <w:rPr/>
      </w:pPr>
      <w:r>
        <w:rPr/>
        <w:t>​</w:t>
      </w:r>
    </w:p>
    <w:p>
      <w:pPr>
        <w:pStyle w:val="TextBody"/>
        <w:bidi w:val="0"/>
        <w:spacing w:before="0" w:after="16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PARK DENTAL PARTNERS,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RECONCILIATION OF EARNINGS PER SHARE TO ADJUSTED EARNINGS PER SHARE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797"/>
        <w:gridCol w:w="109"/>
        <w:gridCol w:w="196"/>
        <w:gridCol w:w="826"/>
        <w:gridCol w:w="346"/>
        <w:gridCol w:w="109"/>
        <w:gridCol w:w="346"/>
        <w:gridCol w:w="196"/>
        <w:gridCol w:w="826"/>
        <w:gridCol w:w="346"/>
        <w:gridCol w:w="109"/>
        <w:gridCol w:w="109"/>
        <w:gridCol w:w="196"/>
        <w:gridCol w:w="826"/>
        <w:gridCol w:w="346"/>
        <w:gridCol w:w="109"/>
        <w:gridCol w:w="346"/>
        <w:gridCol w:w="196"/>
        <w:gridCol w:w="871"/>
      </w:tblGrid>
      <w:tr>
        <w:trPr/>
        <w:tc>
          <w:tcPr>
            <w:tcW w:w="37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411095" cy="175260"/>
                      <wp:effectExtent l="0" t="0" r="0" b="0"/>
                      <wp:wrapNone/>
                      <wp:docPr id="113" name="Frame113"/>
                      <a:graphic xmlns:a="http://schemas.openxmlformats.org/drawingml/2006/main">
                        <a:graphicData uri="http://schemas.microsoft.com/office/word/2010/wordprocessingShape">
                          <wps:wsp>
                            <wps:cNvSpPr txBox="1"/>
                            <wps:spPr>
                              <a:xfrm>
                                <a:off x="0" y="0"/>
                                <a:ext cx="2411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9215" cy="175260"/>
                      <wp:effectExtent l="0" t="0" r="0" b="0"/>
                      <wp:wrapNone/>
                      <wp:docPr id="114" name="Frame1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24460" cy="175260"/>
                      <wp:effectExtent l="0" t="0" r="0" b="0"/>
                      <wp:wrapNone/>
                      <wp:docPr id="115" name="Frame11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524510" cy="175260"/>
                      <wp:effectExtent l="0" t="0" r="0" b="0"/>
                      <wp:wrapNone/>
                      <wp:docPr id="116" name="Frame116"/>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19710" cy="175260"/>
                      <wp:effectExtent l="0" t="0" r="0" b="0"/>
                      <wp:wrapNone/>
                      <wp:docPr id="117" name="Frame1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9215" cy="175260"/>
                      <wp:effectExtent l="0" t="0" r="0" b="0"/>
                      <wp:wrapNone/>
                      <wp:docPr id="118" name="Frame1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19710" cy="175260"/>
                      <wp:effectExtent l="0" t="0" r="0" b="0"/>
                      <wp:wrapNone/>
                      <wp:docPr id="119" name="Frame1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24460" cy="175260"/>
                      <wp:effectExtent l="0" t="0" r="0" b="0"/>
                      <wp:wrapNone/>
                      <wp:docPr id="120" name="Frame12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524510" cy="175260"/>
                      <wp:effectExtent l="0" t="0" r="0" b="0"/>
                      <wp:wrapNone/>
                      <wp:docPr id="121" name="Frame12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19710" cy="175260"/>
                      <wp:effectExtent l="0" t="0" r="0" b="0"/>
                      <wp:wrapNone/>
                      <wp:docPr id="122" name="Frame1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9215" cy="175260"/>
                      <wp:effectExtent l="0" t="0" r="0" b="0"/>
                      <wp:wrapNone/>
                      <wp:docPr id="123" name="Frame1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9215" cy="175260"/>
                      <wp:effectExtent l="0" t="0" r="0" b="0"/>
                      <wp:wrapNone/>
                      <wp:docPr id="124" name="Frame1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24460" cy="175260"/>
                      <wp:effectExtent l="0" t="0" r="0" b="0"/>
                      <wp:wrapNone/>
                      <wp:docPr id="125" name="Frame12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524510" cy="175260"/>
                      <wp:effectExtent l="0" t="0" r="0" b="0"/>
                      <wp:wrapNone/>
                      <wp:docPr id="126" name="Frame126"/>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19710" cy="175260"/>
                      <wp:effectExtent l="0" t="0" r="0" b="0"/>
                      <wp:wrapNone/>
                      <wp:docPr id="127" name="Frame1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9215" cy="175260"/>
                      <wp:effectExtent l="0" t="0" r="0" b="0"/>
                      <wp:wrapNone/>
                      <wp:docPr id="128" name="Frame1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19710" cy="175260"/>
                      <wp:effectExtent l="0" t="0" r="0" b="0"/>
                      <wp:wrapNone/>
                      <wp:docPr id="129" name="Frame1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24460" cy="175260"/>
                      <wp:effectExtent l="0" t="0" r="0" b="0"/>
                      <wp:wrapNone/>
                      <wp:docPr id="130" name="Frame13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553085" cy="175260"/>
                      <wp:effectExtent l="0" t="0" r="0" b="0"/>
                      <wp:wrapNone/>
                      <wp:docPr id="131" name="Frame131"/>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9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845" w:type="dxa"/>
            <w:gridSpan w:val="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890" w:type="dxa"/>
            <w:gridSpan w:val="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r>
      <w:tr>
        <w:trPr/>
        <w:tc>
          <w:tcPr>
            <w:tcW w:w="379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845"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890"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79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0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79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EARNINGS ATTRIBUTABLE TO COMMON SHAREHOLDERS: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1,349</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2,570</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959</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4,136</w:t>
            </w:r>
          </w:p>
        </w:tc>
      </w:tr>
      <w:tr>
        <w:trPr/>
        <w:tc>
          <w:tcPr>
            <w:tcW w:w="379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Adjustments: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left"/>
              <w:rPr/>
            </w:pPr>
            <w:r>
              <w:rPr/>
              <w:t>​</w:t>
            </w:r>
          </w:p>
        </w:tc>
      </w:tr>
      <w:tr>
        <w:trPr/>
        <w:tc>
          <w:tcPr>
            <w:tcW w:w="379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Share based compensation</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3,035</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7,059</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r>
      <w:tr>
        <w:trPr/>
        <w:tc>
          <w:tcPr>
            <w:tcW w:w="379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Restructuring costs</w:t>
            </w:r>
            <w:r>
              <w:rPr>
                <w:rFonts w:ascii="Times New Roman;Times;serif" w:hAnsi="Times New Roman;Times;serif"/>
                <w:sz w:val="14"/>
              </w:rPr>
              <w:t>(1)</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347</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893</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405</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1,376</w:t>
            </w:r>
          </w:p>
        </w:tc>
      </w:tr>
      <w:tr>
        <w:trPr/>
        <w:tc>
          <w:tcPr>
            <w:tcW w:w="379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compensation</w:t>
            </w:r>
            <w:r>
              <w:rPr>
                <w:rFonts w:ascii="Times New Roman;Times;serif" w:hAnsi="Times New Roman;Times;serif"/>
                <w:sz w:val="14"/>
              </w:rPr>
              <w:t>(2)</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433</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170</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593</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329</w:t>
            </w:r>
          </w:p>
        </w:tc>
      </w:tr>
      <w:tr>
        <w:trPr/>
        <w:tc>
          <w:tcPr>
            <w:tcW w:w="379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 effect of the Adjustments</w:t>
            </w:r>
            <w:r>
              <w:rPr>
                <w:rFonts w:ascii="Times New Roman;Times;serif" w:hAnsi="Times New Roman;Times;serif"/>
                <w:sz w:val="14"/>
              </w:rPr>
              <w:t>(3)</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(1,068)</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(297)</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(2,256)</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(477)</w:t>
            </w:r>
          </w:p>
        </w:tc>
      </w:tr>
      <w:tr>
        <w:trPr/>
        <w:tc>
          <w:tcPr>
            <w:tcW w:w="379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ADJUSTED NET INCOME ATTRIBUTABLE TO COMMON SHAREHOLDERS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4,096</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3,336</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6,760</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5,364</w:t>
            </w:r>
          </w:p>
        </w:tc>
      </w:tr>
      <w:tr>
        <w:trPr/>
        <w:tc>
          <w:tcPr>
            <w:tcW w:w="379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left"/>
              <w:rPr/>
            </w:pPr>
            <w:r>
              <w:rPr/>
              <w:t>​</w:t>
            </w:r>
          </w:p>
        </w:tc>
      </w:tr>
      <w:tr>
        <w:trPr/>
        <w:tc>
          <w:tcPr>
            <w:tcW w:w="3797"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Adjusted Weighted Average Diluted Shares - Reconciliation</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left"/>
              <w:rPr/>
            </w:pPr>
            <w:r>
              <w:rPr/>
              <w:t>​</w:t>
            </w:r>
          </w:p>
        </w:tc>
      </w:tr>
      <w:tr>
        <w:trPr/>
        <w:tc>
          <w:tcPr>
            <w:tcW w:w="379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WEIGHTED-AVERAGE SHARES USED IN COMPUTING GAAP NET EARNINGS PER SHARE, DILUTED</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6,235,305</w:t>
            </w:r>
          </w:p>
        </w:tc>
        <w:tc>
          <w:tcPr>
            <w:tcW w:w="3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1,772,662</w:t>
            </w:r>
          </w:p>
        </w:tc>
        <w:tc>
          <w:tcPr>
            <w:tcW w:w="3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6,091,899</w:t>
            </w:r>
          </w:p>
        </w:tc>
        <w:tc>
          <w:tcPr>
            <w:tcW w:w="3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1,777,942</w:t>
            </w:r>
          </w:p>
        </w:tc>
      </w:tr>
      <w:tr>
        <w:trPr/>
        <w:tc>
          <w:tcPr>
            <w:tcW w:w="379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ADJUSTED WEIGHTED AVERAGE DILUTED SHARES USED IN COMPUTING ADJUSTED EARNINGS PER SHARE, DILUTED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6,235,305</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1,772,662</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6,091,899</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1,777,942</w:t>
            </w:r>
          </w:p>
        </w:tc>
      </w:tr>
      <w:tr>
        <w:trPr/>
        <w:tc>
          <w:tcPr>
            <w:tcW w:w="379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79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ADJUSTED DILUTED EARNINGS PER SHARE: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0.66</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1.88</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3.02</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7"/>
        <w:gridCol w:w="9985"/>
      </w:tblGrid>
      <w:tr>
        <w:trPr/>
        <w:tc>
          <w:tcPr>
            <w:tcW w:w="2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i/>
                <w:sz w:val="16"/>
              </w:rPr>
            </w:pPr>
            <w:r>
              <w:rPr>
                <w:rFonts w:ascii="Times New Roman;Times;serif" w:hAnsi="Times New Roman;Times;serif"/>
                <w:i/>
                <w:sz w:val="16"/>
              </w:rPr>
              <w:t>(1)</w:t>
            </w:r>
          </w:p>
        </w:tc>
        <w:tc>
          <w:tcPr>
            <w:tcW w:w="9985" w:type="dxa"/>
            <w:tcBorders/>
            <w:vAlign w:val="center"/>
          </w:tcPr>
          <w:p>
            <w:pPr>
              <w:pStyle w:val="TableContents"/>
              <w:bidi w:val="0"/>
              <w:spacing w:before="0" w:after="283"/>
              <w:jc w:val="left"/>
              <w:rPr>
                <w:rFonts w:ascii="Times New Roman;Times;serif" w:hAnsi="Times New Roman;Times;serif"/>
                <w:b w:val="false"/>
                <w:i/>
                <w:sz w:val="16"/>
              </w:rPr>
            </w:pPr>
            <w:r>
              <w:rPr>
                <w:rFonts w:ascii="Times New Roman;Times;serif" w:hAnsi="Times New Roman;Times;serif"/>
                <w:b w:val="false"/>
                <w:i/>
                <w:sz w:val="16"/>
              </w:rPr>
              <w:t>Restructuring costs for the three and six months ended June 30, 2026 primarily consist of expenses related to acquisition legal costs. Restructuring costs for the three and six months ended June 30, 2025 primarily consist of expenses incurred in connection with the Company’s initial public offering.</w:t>
            </w:r>
          </w:p>
        </w:tc>
      </w:tr>
    </w:tbl>
    <w:p>
      <w:pPr>
        <w:pStyle w:val="TextBody"/>
        <w:bidi w:val="0"/>
        <w:spacing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29"/>
        <w:gridCol w:w="9953"/>
      </w:tblGrid>
      <w:tr>
        <w:trPr/>
        <w:tc>
          <w:tcPr>
            <w:tcW w:w="2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i/>
                <w:sz w:val="16"/>
              </w:rPr>
            </w:pPr>
            <w:r>
              <w:rPr>
                <w:rFonts w:ascii="Times New Roman;Times;serif" w:hAnsi="Times New Roman;Times;serif"/>
                <w:i/>
                <w:sz w:val="16"/>
              </w:rPr>
              <w:t>(2)</w:t>
            </w:r>
          </w:p>
        </w:tc>
        <w:tc>
          <w:tcPr>
            <w:tcW w:w="9953" w:type="dxa"/>
            <w:tcBorders/>
            <w:vAlign w:val="center"/>
          </w:tcPr>
          <w:p>
            <w:pPr>
              <w:pStyle w:val="TableContents"/>
              <w:bidi w:val="0"/>
              <w:spacing w:before="0" w:after="283"/>
              <w:jc w:val="left"/>
              <w:rPr>
                <w:rFonts w:ascii="Times New Roman;Times;serif" w:hAnsi="Times New Roman;Times;serif"/>
                <w:b w:val="false"/>
                <w:i/>
                <w:sz w:val="16"/>
              </w:rPr>
            </w:pPr>
            <w:r>
              <w:rPr>
                <w:rFonts w:ascii="Times New Roman;Times;serif" w:hAnsi="Times New Roman;Times;serif"/>
                <w:b w:val="false"/>
                <w:i/>
                <w:sz w:val="16"/>
              </w:rPr>
              <w:t>Deferred compensation costs primarily consist of expenses incurred with the Company's active and inactive deferred compensation arrangements.</w:t>
            </w:r>
          </w:p>
        </w:tc>
      </w:tr>
    </w:tbl>
    <w:p>
      <w:pPr>
        <w:pStyle w:val="TextBody"/>
        <w:bidi w:val="0"/>
        <w:spacing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2"/>
        <w:gridCol w:w="9990"/>
      </w:tblGrid>
      <w:tr>
        <w:trPr/>
        <w:tc>
          <w:tcPr>
            <w:tcW w:w="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i/>
                <w:sz w:val="16"/>
              </w:rPr>
            </w:pPr>
            <w:r>
              <w:rPr>
                <w:rFonts w:ascii="Times New Roman;Times;serif" w:hAnsi="Times New Roman;Times;serif"/>
                <w:i/>
                <w:sz w:val="16"/>
              </w:rPr>
              <w:t>(3)</w:t>
            </w:r>
          </w:p>
        </w:tc>
        <w:tc>
          <w:tcPr>
            <w:tcW w:w="9990" w:type="dxa"/>
            <w:tcBorders/>
            <w:vAlign w:val="center"/>
          </w:tcPr>
          <w:p>
            <w:pPr>
              <w:pStyle w:val="TableContents"/>
              <w:bidi w:val="0"/>
              <w:spacing w:before="0" w:after="283"/>
              <w:jc w:val="left"/>
              <w:rPr>
                <w:rFonts w:ascii="Times New Roman;Times;serif" w:hAnsi="Times New Roman;Times;serif"/>
                <w:b w:val="false"/>
                <w:i/>
                <w:sz w:val="16"/>
              </w:rPr>
            </w:pPr>
            <w:r>
              <w:rPr>
                <w:rFonts w:ascii="Times New Roman;Times;serif" w:hAnsi="Times New Roman;Times;serif"/>
                <w:b w:val="false"/>
                <w:i/>
                <w:sz w:val="16"/>
              </w:rPr>
              <w:t>Income tax effect is based on an estimated long-term annual effective tax rate of 28% tax rate for the three and six months ended June 30, 2026 and June 30, 2025. The Company's estimated long-term annual effective tax rate excludes certain non-cash items such as share based compensation arrangements, and is used in order to provide consistency across periods.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PARK DENTAL PARTNERS,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OPERATING METRICS (unaudited)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6965" w:type="dxa"/>
        <w:jc w:val="left"/>
        <w:tblInd w:w="0" w:type="dxa"/>
        <w:tblLayout w:type="fixed"/>
        <w:tblCellMar>
          <w:top w:w="0" w:type="dxa"/>
          <w:left w:w="0" w:type="dxa"/>
          <w:bottom w:w="0" w:type="dxa"/>
          <w:right w:w="0" w:type="dxa"/>
        </w:tblCellMar>
      </w:tblPr>
      <w:tblGrid>
        <w:gridCol w:w="2536"/>
        <w:gridCol w:w="346"/>
        <w:gridCol w:w="109"/>
        <w:gridCol w:w="691"/>
        <w:gridCol w:w="346"/>
        <w:gridCol w:w="109"/>
        <w:gridCol w:w="691"/>
        <w:gridCol w:w="146"/>
        <w:gridCol w:w="109"/>
        <w:gridCol w:w="691"/>
        <w:gridCol w:w="346"/>
        <w:gridCol w:w="109"/>
        <w:gridCol w:w="736"/>
      </w:tblGrid>
      <w:tr>
        <w:trPr/>
        <w:tc>
          <w:tcPr>
            <w:tcW w:w="2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610360" cy="175260"/>
                      <wp:effectExtent l="0" t="0" r="0" b="0"/>
                      <wp:wrapNone/>
                      <wp:docPr id="132" name="Frame132"/>
                      <a:graphic xmlns:a="http://schemas.openxmlformats.org/drawingml/2006/main">
                        <a:graphicData uri="http://schemas.microsoft.com/office/word/2010/wordprocessingShape">
                          <wps:wsp>
                            <wps:cNvSpPr txBox="1"/>
                            <wps:spPr>
                              <a:xfrm>
                                <a:off x="0" y="0"/>
                                <a:ext cx="1610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19710" cy="175260"/>
                      <wp:effectExtent l="0" t="0" r="0" b="0"/>
                      <wp:wrapNone/>
                      <wp:docPr id="133" name="Frame1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9215" cy="175260"/>
                      <wp:effectExtent l="0" t="0" r="0" b="0"/>
                      <wp:wrapNone/>
                      <wp:docPr id="134" name="Frame13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438785" cy="175260"/>
                      <wp:effectExtent l="0" t="0" r="0" b="0"/>
                      <wp:wrapNone/>
                      <wp:docPr id="135" name="Frame13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19710" cy="175260"/>
                      <wp:effectExtent l="0" t="0" r="0" b="0"/>
                      <wp:wrapNone/>
                      <wp:docPr id="136" name="Frame1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9215" cy="175260"/>
                      <wp:effectExtent l="0" t="0" r="0" b="0"/>
                      <wp:wrapNone/>
                      <wp:docPr id="137" name="Frame13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438785" cy="175260"/>
                      <wp:effectExtent l="0" t="0" r="0" b="0"/>
                      <wp:wrapNone/>
                      <wp:docPr id="138" name="Frame13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92710" cy="175260"/>
                      <wp:effectExtent l="0" t="0" r="0" b="0"/>
                      <wp:wrapNone/>
                      <wp:docPr id="139" name="Frame13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9215" cy="175260"/>
                      <wp:effectExtent l="0" t="0" r="0" b="0"/>
                      <wp:wrapNone/>
                      <wp:docPr id="140" name="Frame14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438785" cy="175260"/>
                      <wp:effectExtent l="0" t="0" r="0" b="0"/>
                      <wp:wrapNone/>
                      <wp:docPr id="141" name="Frame14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19710" cy="175260"/>
                      <wp:effectExtent l="0" t="0" r="0" b="0"/>
                      <wp:wrapNone/>
                      <wp:docPr id="142" name="Frame1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9215" cy="175260"/>
                      <wp:effectExtent l="0" t="0" r="0" b="0"/>
                      <wp:wrapNone/>
                      <wp:docPr id="143" name="Frame1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467360" cy="175260"/>
                      <wp:effectExtent l="0" t="0" r="0" b="0"/>
                      <wp:wrapNone/>
                      <wp:docPr id="144" name="Frame144"/>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946"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46" w:type="dxa"/>
            <w:tcBorders/>
            <w:vAlign w:val="center"/>
          </w:tcPr>
          <w:p>
            <w:pPr>
              <w:pStyle w:val="TableContents"/>
              <w:bidi w:val="0"/>
              <w:spacing w:before="0" w:after="0"/>
              <w:ind w:left="0" w:right="0" w:hanging="0"/>
              <w:jc w:val="left"/>
              <w:rPr/>
            </w:pPr>
            <w:r>
              <w:rPr/>
              <w:t>​</w:t>
            </w:r>
          </w:p>
        </w:tc>
        <w:tc>
          <w:tcPr>
            <w:tcW w:w="1991"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25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94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46" w:type="dxa"/>
            <w:tcBorders/>
            <w:vAlign w:val="center"/>
          </w:tcPr>
          <w:p>
            <w:pPr>
              <w:pStyle w:val="TableContents"/>
              <w:bidi w:val="0"/>
              <w:spacing w:before="0" w:after="0"/>
              <w:ind w:left="0" w:right="0" w:hanging="0"/>
              <w:jc w:val="left"/>
              <w:rPr/>
            </w:pPr>
            <w:r>
              <w:rPr/>
              <w:t>​</w:t>
            </w:r>
          </w:p>
        </w:tc>
        <w:tc>
          <w:tcPr>
            <w:tcW w:w="199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25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8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46" w:type="dxa"/>
            <w:tcBorders/>
            <w:vAlign w:val="center"/>
          </w:tcPr>
          <w:p>
            <w:pPr>
              <w:pStyle w:val="TableContents"/>
              <w:bidi w:val="0"/>
              <w:spacing w:before="0" w:after="0"/>
              <w:ind w:left="0" w:right="0" w:hanging="0"/>
              <w:jc w:val="left"/>
              <w:rPr/>
            </w:pPr>
            <w:r>
              <w:rPr/>
              <w:t> </w:t>
            </w:r>
          </w:p>
        </w:tc>
        <w:tc>
          <w:tcPr>
            <w:tcW w:w="8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8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5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r>
      <w:tr>
        <w:trPr/>
        <w:tc>
          <w:tcPr>
            <w:tcW w:w="25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Patient Visits</w:t>
            </w:r>
            <w:r>
              <w:rPr>
                <w:rFonts w:ascii="Times New Roman;Times;serif" w:hAnsi="Times New Roman;Times;serif"/>
                <w:sz w:val="14"/>
              </w:rPr>
              <w:t>(1)</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185,569</w:t>
            </w:r>
          </w:p>
        </w:tc>
        <w:tc>
          <w:tcPr>
            <w:tcW w:w="34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185,189</w:t>
            </w:r>
          </w:p>
        </w:tc>
        <w:tc>
          <w:tcPr>
            <w:tcW w:w="1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364,096</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361,129</w:t>
            </w:r>
          </w:p>
        </w:tc>
      </w:tr>
      <w:tr>
        <w:trPr/>
        <w:tc>
          <w:tcPr>
            <w:tcW w:w="2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Same Practice Revenue Growth</w:t>
            </w:r>
            <w:r>
              <w:rPr>
                <w:rFonts w:ascii="Times New Roman;Times;serif" w:hAnsi="Times New Roman;Times;serif"/>
                <w:sz w:val="14"/>
              </w:rPr>
              <w:t>(2)</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w:t>
            </w:r>
          </w:p>
        </w:tc>
        <w:tc>
          <w:tcPr>
            <w:tcW w:w="3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w:t>
            </w:r>
          </w:p>
        </w:tc>
        <w:tc>
          <w:tcPr>
            <w:tcW w:w="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w:t>
            </w:r>
          </w:p>
        </w:tc>
      </w:tr>
      <w:tr>
        <w:trPr/>
        <w:tc>
          <w:tcPr>
            <w:tcW w:w="25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Patient Retention Rate</w:t>
            </w:r>
            <w:r>
              <w:rPr>
                <w:rFonts w:ascii="Times New Roman;Times;serif" w:hAnsi="Times New Roman;Times;serif"/>
                <w:sz w:val="14"/>
              </w:rPr>
              <w:t>(3)</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90.3%</w:t>
            </w:r>
          </w:p>
        </w:tc>
        <w:tc>
          <w:tcPr>
            <w:tcW w:w="34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89.7%</w:t>
            </w:r>
          </w:p>
        </w:tc>
        <w:tc>
          <w:tcPr>
            <w:tcW w:w="1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90.3%</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89.7%</w:t>
            </w:r>
          </w:p>
        </w:tc>
      </w:tr>
      <w:tr>
        <w:trPr/>
        <w:tc>
          <w:tcPr>
            <w:tcW w:w="2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Doctor Count</w:t>
            </w:r>
            <w:r>
              <w:rPr>
                <w:rFonts w:ascii="Times New Roman;Times;serif" w:hAnsi="Times New Roman;Times;serif"/>
                <w:sz w:val="14"/>
              </w:rPr>
              <w:t>(4)</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219</w:t>
            </w:r>
          </w:p>
        </w:tc>
        <w:tc>
          <w:tcPr>
            <w:tcW w:w="3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203</w:t>
            </w:r>
          </w:p>
        </w:tc>
        <w:tc>
          <w:tcPr>
            <w:tcW w:w="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80"/>
        <w:gridCol w:w="10002"/>
      </w:tblGrid>
      <w:tr>
        <w:trPr/>
        <w:tc>
          <w:tcPr>
            <w:tcW w:w="2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rFonts w:ascii="Times New Roman;Times;serif" w:hAnsi="Times New Roman;Times;serif"/>
                <w:i/>
                <w:sz w:val="16"/>
              </w:rPr>
            </w:pPr>
            <w:r>
              <w:rPr>
                <w:rFonts w:ascii="Times New Roman;Times;serif" w:hAnsi="Times New Roman;Times;serif"/>
                <w:i/>
                <w:sz w:val="16"/>
              </w:rPr>
              <w:t>(1)</w:t>
            </w:r>
          </w:p>
        </w:tc>
        <w:tc>
          <w:tcPr>
            <w:tcW w:w="10002" w:type="dxa"/>
            <w:tcBorders/>
            <w:vAlign w:val="center"/>
          </w:tcPr>
          <w:p>
            <w:pPr>
              <w:pStyle w:val="TableContents"/>
              <w:bidi w:val="0"/>
              <w:spacing w:before="0" w:after="283"/>
              <w:jc w:val="left"/>
              <w:rPr>
                <w:rFonts w:ascii="Times New Roman;Times;serif" w:hAnsi="Times New Roman;Times;serif"/>
                <w:b w:val="false"/>
                <w:i/>
                <w:sz w:val="16"/>
              </w:rPr>
            </w:pPr>
            <w:r>
              <w:rPr>
                <w:rFonts w:ascii="Times New Roman;Times;serif" w:hAnsi="Times New Roman;Times;serif"/>
                <w:b w:val="false"/>
                <w:i/>
                <w:sz w:val="16"/>
              </w:rPr>
              <w:t>A patient visit is counted when service is provided to a patient at one of our affiliated dental general dentistry practices. Measuring the year-over-year change in patient visits helps us to evaluate how the affiliated dental practices are performing. It also helps with evaluating demand for services which influences decision-making relating to matters such as appropriate staffing levels and recruiting needs. In addition, it influences decision-making processes relating to our marketing, sales and advertising strategies and helps us with evaluating the effectiveness of those strategies. Further, with respect to continuing care patient count, it allows us to evaluate the ability of affiliated dentists to encourage patients to complete their diagnosed dental treatment plans.</w:t>
            </w:r>
          </w:p>
        </w:tc>
      </w:tr>
    </w:tbl>
    <w:p>
      <w:pPr>
        <w:pStyle w:val="TextBody"/>
        <w:bidi w:val="0"/>
        <w:spacing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9"/>
        <w:gridCol w:w="10003"/>
      </w:tblGrid>
      <w:tr>
        <w:trPr/>
        <w:tc>
          <w:tcPr>
            <w:tcW w:w="2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rFonts w:ascii="Times New Roman;Times;serif" w:hAnsi="Times New Roman;Times;serif"/>
                <w:i/>
                <w:sz w:val="16"/>
              </w:rPr>
            </w:pPr>
            <w:r>
              <w:rPr>
                <w:rFonts w:ascii="Times New Roman;Times;serif" w:hAnsi="Times New Roman;Times;serif"/>
                <w:i/>
                <w:sz w:val="16"/>
              </w:rPr>
              <w:t>(2)</w:t>
            </w:r>
          </w:p>
        </w:tc>
        <w:tc>
          <w:tcPr>
            <w:tcW w:w="10003" w:type="dxa"/>
            <w:tcBorders/>
            <w:vAlign w:val="center"/>
          </w:tcPr>
          <w:p>
            <w:pPr>
              <w:pStyle w:val="TableContents"/>
              <w:bidi w:val="0"/>
              <w:spacing w:before="0" w:after="283"/>
              <w:jc w:val="left"/>
              <w:rPr>
                <w:rFonts w:ascii="Times New Roman;Times;serif" w:hAnsi="Times New Roman;Times;serif"/>
                <w:b w:val="false"/>
                <w:i/>
                <w:sz w:val="16"/>
              </w:rPr>
            </w:pPr>
            <w:r>
              <w:rPr>
                <w:rFonts w:ascii="Times New Roman;Times;serif" w:hAnsi="Times New Roman;Times;serif"/>
                <w:b w:val="false"/>
                <w:i/>
                <w:sz w:val="16"/>
              </w:rPr>
              <w:t>Same practice revenues represent total revenues for same dental practice locations that have been operating for at least 13 full months prior to the end of a given reporting period and which have not been closed, or sold during such period. Measuring the year-over-year change in same practice revenues allows us to evaluate how affiliated dental practices are performing. We believe various factors affect comparable practice revenues, including patient demand for dental services, economic trends, dentist and hygienist staffing levels, availability of dentists and hygienists, pricing, competition, visibility and accessibility of the dental practices, quality of the tenants surrounding the dental practices, clinical hours and the level of patient service provided inside and outside of the dental practices.</w:t>
            </w:r>
          </w:p>
        </w:tc>
      </w:tr>
    </w:tbl>
    <w:p>
      <w:pPr>
        <w:pStyle w:val="TextBody"/>
        <w:bidi w:val="0"/>
        <w:spacing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7"/>
        <w:gridCol w:w="10005"/>
      </w:tblGrid>
      <w:tr>
        <w:trPr/>
        <w:tc>
          <w:tcPr>
            <w:tcW w:w="2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rFonts w:ascii="Times New Roman;Times;serif" w:hAnsi="Times New Roman;Times;serif"/>
                <w:i/>
                <w:sz w:val="16"/>
              </w:rPr>
            </w:pPr>
            <w:r>
              <w:rPr>
                <w:rFonts w:ascii="Times New Roman;Times;serif" w:hAnsi="Times New Roman;Times;serif"/>
                <w:i/>
                <w:sz w:val="16"/>
              </w:rPr>
              <w:t>(3)</w:t>
            </w:r>
          </w:p>
        </w:tc>
        <w:tc>
          <w:tcPr>
            <w:tcW w:w="10005" w:type="dxa"/>
            <w:tcBorders/>
            <w:vAlign w:val="center"/>
          </w:tcPr>
          <w:p>
            <w:pPr>
              <w:pStyle w:val="TableContents"/>
              <w:bidi w:val="0"/>
              <w:spacing w:before="0" w:after="283"/>
              <w:jc w:val="left"/>
              <w:rPr>
                <w:rFonts w:ascii="Times New Roman;Times;serif" w:hAnsi="Times New Roman;Times;serif"/>
                <w:b w:val="false"/>
                <w:i/>
                <w:sz w:val="16"/>
              </w:rPr>
            </w:pPr>
            <w:r>
              <w:rPr>
                <w:rFonts w:ascii="Times New Roman;Times;serif" w:hAnsi="Times New Roman;Times;serif"/>
                <w:b w:val="false"/>
                <w:i/>
                <w:sz w:val="16"/>
              </w:rPr>
              <w:t>Patient retention rate is calculated by counting patients that remain active at the beginning and end of a twelve-month period. Active patients are defined as general dentistry patients having been seen by our affiliated dental practices within the past 36 months, or last 18 months for patients under the age of 18. Patients who have not been seen by our affiliated dental practices within these time periods are removed from our active patient lists. This methodology is aligned with ADA clinical procedure codes, and is consistent with treatment protocols for new patients, before being considered an active patient again. Measuring the year-over-year and quarter-over-quarter change in patient retention allows us to evaluate the recurring nature of patient visits at the dental practices and affiliated dentists which influences decision-making around matters such as appropriate levels of staffing, recruiting, advertising and facility expansion opportunities.</w:t>
            </w:r>
          </w:p>
        </w:tc>
      </w:tr>
    </w:tbl>
    <w:p>
      <w:pPr>
        <w:pStyle w:val="TextBody"/>
        <w:bidi w:val="0"/>
        <w:spacing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i/>
                <w:sz w:val="16"/>
              </w:rPr>
            </w:pPr>
            <w:r>
              <w:rPr>
                <w:rFonts w:ascii="Times New Roman;Times;serif" w:hAnsi="Times New Roman;Times;serif"/>
                <w:i/>
                <w:sz w:val="16"/>
              </w:rPr>
              <w:t>(4)</w:t>
            </w:r>
          </w:p>
        </w:tc>
        <w:tc>
          <w:tcPr>
            <w:tcW w:w="9993" w:type="dxa"/>
            <w:tcBorders/>
            <w:vAlign w:val="center"/>
          </w:tcPr>
          <w:p>
            <w:pPr>
              <w:pStyle w:val="TableContents"/>
              <w:bidi w:val="0"/>
              <w:spacing w:before="0" w:after="283"/>
              <w:jc w:val="left"/>
              <w:rPr>
                <w:rFonts w:ascii="Times New Roman;Times;serif" w:hAnsi="Times New Roman;Times;serif"/>
                <w:b w:val="false"/>
                <w:i/>
                <w:sz w:val="16"/>
              </w:rPr>
            </w:pPr>
            <w:r>
              <w:rPr>
                <w:rFonts w:ascii="Times New Roman;Times;serif" w:hAnsi="Times New Roman;Times;serif"/>
                <w:b w:val="false"/>
                <w:i/>
                <w:sz w:val="16"/>
              </w:rPr>
              <w:t>Dentists operating in one of our affiliated dental practices are included in this calculation, which includes both full and part-time dentists. Measuring the year-over-year and quarter-over- quarter change in dentist count allows us to evaluate the production capacity of affiliated dental practices. It also influences decision-making relating to matters such as appropriate staffing levels and recruiting needs.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pto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4248</Words>
  <Characters>23857</Characters>
  <CharactersWithSpaces>28959</CharactersWithSpaces>
  <Paragraphs>2390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